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C80D32" w:rsidRPr="009E2B84" w:rsidTr="00EA2EBE">
        <w:trPr>
          <w:gridAfter w:val="1"/>
          <w:wAfter w:w="2835" w:type="dxa"/>
          <w:cantSplit/>
          <w:trHeight w:val="569"/>
        </w:trPr>
        <w:tc>
          <w:tcPr>
            <w:tcW w:w="4786" w:type="dxa"/>
            <w:shd w:val="clear" w:color="auto" w:fill="BFBFBF"/>
            <w:vAlign w:val="center"/>
          </w:tcPr>
          <w:p w:rsidR="00C80D32" w:rsidRPr="009E2B84" w:rsidRDefault="00C80D32" w:rsidP="00EA2EBE">
            <w:pPr>
              <w:keepNext/>
              <w:shd w:val="clear" w:color="auto" w:fill="BFBFBF"/>
              <w:jc w:val="center"/>
              <w:outlineLvl w:val="0"/>
              <w:rPr>
                <w:b/>
              </w:rPr>
            </w:pPr>
            <w:r>
              <w:rPr>
                <w:noProof/>
              </w:rPr>
              <w:drawing>
                <wp:anchor distT="0" distB="0" distL="114300" distR="114300" simplePos="0" relativeHeight="251659264" behindDoc="1" locked="0" layoutInCell="0" allowOverlap="1" wp14:anchorId="51982A39" wp14:editId="5598A9E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rsidR="00C80D32" w:rsidRPr="009E2B84" w:rsidRDefault="00C80D32" w:rsidP="00EA2EBE">
            <w:pPr>
              <w:jc w:val="center"/>
              <w:rPr>
                <w:b/>
              </w:rPr>
            </w:pPr>
            <w:r w:rsidRPr="009E2B84">
              <w:rPr>
                <w:b/>
              </w:rPr>
              <w:t>ON</w:t>
            </w:r>
          </w:p>
        </w:tc>
      </w:tr>
      <w:tr w:rsidR="00C80D32" w:rsidRPr="009E2B84" w:rsidTr="00EA2EBE">
        <w:trPr>
          <w:gridAfter w:val="1"/>
          <w:wAfter w:w="2835" w:type="dxa"/>
          <w:cantSplit/>
          <w:trHeight w:val="654"/>
        </w:trPr>
        <w:tc>
          <w:tcPr>
            <w:tcW w:w="4786" w:type="dxa"/>
            <w:tcBorders>
              <w:bottom w:val="nil"/>
            </w:tcBorders>
            <w:vAlign w:val="center"/>
          </w:tcPr>
          <w:p w:rsidR="00C80D32" w:rsidRPr="00BE2A3F" w:rsidRDefault="002E74B1" w:rsidP="00682E9A">
            <w:pPr>
              <w:rPr>
                <w:b/>
                <w:szCs w:val="22"/>
              </w:rPr>
            </w:pPr>
            <w:r>
              <w:rPr>
                <w:b/>
                <w:szCs w:val="22"/>
              </w:rPr>
              <w:t>Licensing Panel</w:t>
            </w:r>
          </w:p>
        </w:tc>
        <w:tc>
          <w:tcPr>
            <w:tcW w:w="2268" w:type="dxa"/>
            <w:gridSpan w:val="2"/>
            <w:tcBorders>
              <w:bottom w:val="nil"/>
            </w:tcBorders>
            <w:vAlign w:val="center"/>
          </w:tcPr>
          <w:p w:rsidR="00C80D32" w:rsidRPr="009E2B84" w:rsidRDefault="008B30C8" w:rsidP="00EA2EBE">
            <w:pPr>
              <w:jc w:val="center"/>
              <w:rPr>
                <w:b/>
              </w:rPr>
            </w:pPr>
            <w:r>
              <w:rPr>
                <w:b/>
              </w:rPr>
              <w:t>20</w:t>
            </w:r>
            <w:r w:rsidR="004D515E" w:rsidRPr="004D515E">
              <w:rPr>
                <w:b/>
                <w:vertAlign w:val="superscript"/>
              </w:rPr>
              <w:t>th</w:t>
            </w:r>
            <w:r w:rsidR="004D515E">
              <w:rPr>
                <w:b/>
              </w:rPr>
              <w:t xml:space="preserve"> August 2018</w:t>
            </w:r>
          </w:p>
        </w:tc>
      </w:tr>
      <w:tr w:rsidR="00C80D32" w:rsidRPr="009E2B84" w:rsidTr="00EA2EBE">
        <w:trPr>
          <w:gridAfter w:val="1"/>
          <w:wAfter w:w="2835" w:type="dxa"/>
          <w:cantSplit/>
          <w:trHeight w:val="560"/>
        </w:trPr>
        <w:tc>
          <w:tcPr>
            <w:tcW w:w="7054" w:type="dxa"/>
            <w:gridSpan w:val="3"/>
            <w:tcBorders>
              <w:left w:val="nil"/>
              <w:right w:val="nil"/>
            </w:tcBorders>
          </w:tcPr>
          <w:p w:rsidR="00C80D32" w:rsidRPr="009E2B84" w:rsidRDefault="00C80D32" w:rsidP="00EA2EBE">
            <w:pPr>
              <w:jc w:val="right"/>
              <w:rPr>
                <w:sz w:val="8"/>
              </w:rPr>
            </w:pPr>
          </w:p>
        </w:tc>
      </w:tr>
      <w:tr w:rsidR="00C80D32" w:rsidRPr="009E2B84" w:rsidTr="00EA2EBE">
        <w:trPr>
          <w:cantSplit/>
        </w:trPr>
        <w:tc>
          <w:tcPr>
            <w:tcW w:w="6912" w:type="dxa"/>
            <w:gridSpan w:val="2"/>
            <w:shd w:val="clear" w:color="auto" w:fill="BFBFBF"/>
            <w:vAlign w:val="center"/>
          </w:tcPr>
          <w:p w:rsidR="00C80D32" w:rsidRPr="009E2B84" w:rsidRDefault="00C80D32" w:rsidP="00EA2EBE">
            <w:pPr>
              <w:jc w:val="center"/>
              <w:rPr>
                <w:b/>
              </w:rPr>
            </w:pPr>
            <w:r w:rsidRPr="009E2B84">
              <w:rPr>
                <w:b/>
              </w:rPr>
              <w:t>TITLE</w:t>
            </w:r>
          </w:p>
        </w:tc>
        <w:tc>
          <w:tcPr>
            <w:tcW w:w="2977" w:type="dxa"/>
            <w:gridSpan w:val="2"/>
            <w:shd w:val="clear" w:color="auto" w:fill="BFBFBF"/>
            <w:vAlign w:val="center"/>
          </w:tcPr>
          <w:p w:rsidR="00C80D32" w:rsidRPr="009E2B84" w:rsidRDefault="00C80D32" w:rsidP="00EA2EBE">
            <w:pPr>
              <w:jc w:val="center"/>
              <w:rPr>
                <w:b/>
              </w:rPr>
            </w:pPr>
            <w:r>
              <w:rPr>
                <w:b/>
              </w:rPr>
              <w:t>REPORT OF</w:t>
            </w:r>
          </w:p>
        </w:tc>
      </w:tr>
      <w:tr w:rsidR="00C80D32" w:rsidRPr="009E2B84" w:rsidTr="00EA2EBE">
        <w:trPr>
          <w:cantSplit/>
          <w:trHeight w:val="667"/>
        </w:trPr>
        <w:tc>
          <w:tcPr>
            <w:tcW w:w="6912" w:type="dxa"/>
            <w:gridSpan w:val="2"/>
            <w:vAlign w:val="center"/>
          </w:tcPr>
          <w:p w:rsidR="00C80D32" w:rsidRDefault="00C80D32" w:rsidP="00EA2EBE">
            <w:pPr>
              <w:rPr>
                <w:b/>
              </w:rPr>
            </w:pPr>
          </w:p>
          <w:p w:rsidR="00C80D32" w:rsidRPr="009E2B84" w:rsidRDefault="00682E9A" w:rsidP="00C60611">
            <w:pPr>
              <w:rPr>
                <w:b/>
              </w:rPr>
            </w:pPr>
            <w:bookmarkStart w:id="0" w:name="_GoBack"/>
            <w:r>
              <w:rPr>
                <w:b/>
              </w:rPr>
              <w:t>Review of Prem</w:t>
            </w:r>
            <w:r w:rsidR="00C60611">
              <w:rPr>
                <w:b/>
              </w:rPr>
              <w:t xml:space="preserve">ises Licence - </w:t>
            </w:r>
            <w:proofErr w:type="spellStart"/>
            <w:r w:rsidR="008B30C8">
              <w:rPr>
                <w:b/>
              </w:rPr>
              <w:t>Naaz</w:t>
            </w:r>
            <w:proofErr w:type="spellEnd"/>
            <w:r w:rsidR="008B30C8">
              <w:rPr>
                <w:b/>
              </w:rPr>
              <w:t xml:space="preserve"> Indian Restaurant, 1 Club Street, Bamber Bridge</w:t>
            </w:r>
            <w:r>
              <w:rPr>
                <w:b/>
              </w:rPr>
              <w:t>,</w:t>
            </w:r>
            <w:r w:rsidR="00423C92">
              <w:rPr>
                <w:b/>
              </w:rPr>
              <w:t xml:space="preserve"> </w:t>
            </w:r>
            <w:r>
              <w:rPr>
                <w:b/>
              </w:rPr>
              <w:t>PR5 6FN</w:t>
            </w:r>
            <w:bookmarkEnd w:id="0"/>
          </w:p>
        </w:tc>
        <w:tc>
          <w:tcPr>
            <w:tcW w:w="2977" w:type="dxa"/>
            <w:gridSpan w:val="2"/>
            <w:vAlign w:val="center"/>
          </w:tcPr>
          <w:p w:rsidR="00C80D32" w:rsidRPr="008A7A4B" w:rsidRDefault="008A7A4B" w:rsidP="00EA2EBE">
            <w:pPr>
              <w:rPr>
                <w:b/>
              </w:rPr>
            </w:pPr>
            <w:r w:rsidRPr="008A7A4B">
              <w:rPr>
                <w:b/>
              </w:rPr>
              <w:t xml:space="preserve">Head of Licensing </w:t>
            </w:r>
          </w:p>
        </w:tc>
      </w:tr>
    </w:tbl>
    <w:p w:rsidR="00C80D32" w:rsidRPr="009E2B84" w:rsidRDefault="00C80D32" w:rsidP="00C80D32"/>
    <w:p w:rsidR="00C80D32" w:rsidRDefault="00C80D32" w:rsidP="00C80D32">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80D32" w:rsidRPr="009C1143" w:rsidTr="00EA2EBE">
        <w:tc>
          <w:tcPr>
            <w:tcW w:w="6652" w:type="dxa"/>
            <w:shd w:val="clear" w:color="auto" w:fill="auto"/>
          </w:tcPr>
          <w:p w:rsidR="00C80D32" w:rsidRDefault="00C80D32" w:rsidP="00EA2EBE">
            <w:pPr>
              <w:rPr>
                <w:szCs w:val="22"/>
              </w:rPr>
            </w:pPr>
          </w:p>
          <w:p w:rsidR="00C80D32" w:rsidRPr="009C1143" w:rsidRDefault="00C80D32" w:rsidP="00EA2EBE">
            <w:pPr>
              <w:rPr>
                <w:szCs w:val="22"/>
              </w:rPr>
            </w:pPr>
            <w:r>
              <w:rPr>
                <w:szCs w:val="22"/>
              </w:rPr>
              <w:t>Is this report confidential?</w:t>
            </w:r>
          </w:p>
        </w:tc>
        <w:tc>
          <w:tcPr>
            <w:tcW w:w="3266" w:type="dxa"/>
            <w:shd w:val="clear" w:color="auto" w:fill="auto"/>
          </w:tcPr>
          <w:p w:rsidR="00C80D32" w:rsidRDefault="00C80D32" w:rsidP="00EA2EBE">
            <w:pPr>
              <w:rPr>
                <w:b/>
                <w:szCs w:val="22"/>
              </w:rPr>
            </w:pPr>
          </w:p>
          <w:p w:rsidR="00C80D32" w:rsidRPr="009C1143" w:rsidRDefault="00C80D32" w:rsidP="00EA2EBE">
            <w:pPr>
              <w:rPr>
                <w:szCs w:val="22"/>
              </w:rPr>
            </w:pPr>
            <w:r>
              <w:rPr>
                <w:b/>
                <w:szCs w:val="22"/>
              </w:rPr>
              <w:t>No</w:t>
            </w:r>
          </w:p>
        </w:tc>
      </w:tr>
    </w:tbl>
    <w:p w:rsidR="00C80D32" w:rsidRDefault="00C80D32" w:rsidP="00C80D32">
      <w:pPr>
        <w:rPr>
          <w:sz w:val="16"/>
          <w:szCs w:val="16"/>
        </w:rPr>
      </w:pPr>
    </w:p>
    <w:p w:rsidR="00C80D32" w:rsidRPr="009C1143" w:rsidRDefault="00C80D32" w:rsidP="00C80D32">
      <w:pPr>
        <w:rPr>
          <w:sz w:val="16"/>
          <w:szCs w:val="16"/>
        </w:rPr>
      </w:pPr>
    </w:p>
    <w:p w:rsidR="00C80D32" w:rsidRPr="002A671F" w:rsidRDefault="00C80D32" w:rsidP="00C80D32">
      <w:pPr>
        <w:keepNext/>
        <w:numPr>
          <w:ilvl w:val="0"/>
          <w:numId w:val="1"/>
        </w:numPr>
        <w:outlineLvl w:val="0"/>
        <w:rPr>
          <w:rFonts w:cs="Arial"/>
          <w:b/>
          <w:szCs w:val="22"/>
        </w:rPr>
      </w:pPr>
      <w:r w:rsidRPr="009C1143">
        <w:rPr>
          <w:b/>
          <w:szCs w:val="22"/>
        </w:rPr>
        <w:t xml:space="preserve">PURPOSE OF THE REPORT  </w:t>
      </w:r>
    </w:p>
    <w:p w:rsidR="00C80D32" w:rsidRDefault="00C80D32" w:rsidP="00C80D32">
      <w:pPr>
        <w:pStyle w:val="ListParagraph"/>
        <w:keepNext/>
        <w:ind w:left="360"/>
        <w:outlineLvl w:val="0"/>
      </w:pPr>
    </w:p>
    <w:p w:rsidR="00C80D32" w:rsidRPr="00423C92" w:rsidRDefault="00C80D32" w:rsidP="00C80D32">
      <w:pPr>
        <w:pStyle w:val="ListParagraph"/>
        <w:keepNext/>
        <w:ind w:left="360"/>
        <w:outlineLvl w:val="0"/>
        <w:rPr>
          <w:rFonts w:ascii="Arial" w:hAnsi="Arial" w:cs="Arial"/>
        </w:rPr>
      </w:pPr>
      <w:r w:rsidRPr="00423C92">
        <w:rPr>
          <w:rFonts w:ascii="Arial" w:hAnsi="Arial" w:cs="Arial"/>
        </w:rPr>
        <w:t>To provide an overview of the application and inform Members of the relevant parts of statute and guida</w:t>
      </w:r>
      <w:r w:rsidR="002E74B1">
        <w:rPr>
          <w:rFonts w:ascii="Arial" w:hAnsi="Arial" w:cs="Arial"/>
        </w:rPr>
        <w:t>nce relating to the review application.</w:t>
      </w:r>
    </w:p>
    <w:p w:rsidR="00C80D32" w:rsidRPr="00A87399" w:rsidRDefault="00C80D32" w:rsidP="00C80D32">
      <w:pPr>
        <w:keepNext/>
        <w:outlineLvl w:val="0"/>
        <w:rPr>
          <w:rFonts w:cs="Arial"/>
          <w:b/>
        </w:rPr>
      </w:pPr>
      <w:r>
        <w:rPr>
          <w:rFonts w:cs="Arial"/>
          <w:b/>
        </w:rPr>
        <w:t xml:space="preserve">2   </w:t>
      </w:r>
      <w:r w:rsidRPr="00A87399">
        <w:rPr>
          <w:rFonts w:cs="Arial"/>
          <w:b/>
        </w:rPr>
        <w:t>CORPORATE PRIORITIES</w:t>
      </w:r>
    </w:p>
    <w:p w:rsidR="00C80D32" w:rsidRPr="00F4022F" w:rsidRDefault="00C80D32" w:rsidP="00C80D32">
      <w:pPr>
        <w:keepNext/>
        <w:outlineLvl w:val="0"/>
        <w:rPr>
          <w:rFonts w:cs="Arial"/>
          <w:b/>
          <w:szCs w:val="22"/>
        </w:rPr>
      </w:pPr>
    </w:p>
    <w:p w:rsidR="00C80D32" w:rsidRPr="00F4022F" w:rsidRDefault="00C80D32" w:rsidP="00C80D32">
      <w:pPr>
        <w:keepNext/>
        <w:ind w:left="360"/>
        <w:outlineLvl w:val="0"/>
        <w:rPr>
          <w:rFonts w:cs="Arial"/>
          <w:i/>
          <w:color w:val="2E74B5"/>
          <w:szCs w:val="22"/>
        </w:rPr>
      </w:pPr>
      <w:r w:rsidRPr="00F4022F">
        <w:rPr>
          <w:rFonts w:cs="Arial"/>
          <w:szCs w:val="22"/>
        </w:rPr>
        <w:t>The report relates to the following corporate priorities:</w:t>
      </w:r>
    </w:p>
    <w:p w:rsidR="00C80D32" w:rsidRPr="00F4022F" w:rsidRDefault="00C80D32" w:rsidP="00C80D32">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80D32" w:rsidRPr="00F4022F" w:rsidTr="00EA2EBE">
        <w:tc>
          <w:tcPr>
            <w:tcW w:w="4423" w:type="dxa"/>
            <w:shd w:val="clear" w:color="auto" w:fill="auto"/>
          </w:tcPr>
          <w:p w:rsidR="00C80D32" w:rsidRPr="00F4022F" w:rsidRDefault="00C80D32" w:rsidP="00EA2EBE">
            <w:pPr>
              <w:rPr>
                <w:rFonts w:cs="Arial"/>
                <w:szCs w:val="22"/>
              </w:rPr>
            </w:pPr>
            <w:r w:rsidRPr="00F4022F">
              <w:rPr>
                <w:rFonts w:cs="Arial"/>
                <w:szCs w:val="22"/>
              </w:rPr>
              <w:t>Excellence and Financial Sustainability</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highlight w:val="yellow"/>
              </w:rPr>
            </w:pPr>
          </w:p>
        </w:tc>
      </w:tr>
      <w:tr w:rsidR="00C80D32" w:rsidRPr="00F4022F" w:rsidTr="00EA2EBE">
        <w:tc>
          <w:tcPr>
            <w:tcW w:w="4423" w:type="dxa"/>
            <w:shd w:val="clear" w:color="auto" w:fill="auto"/>
          </w:tcPr>
          <w:p w:rsidR="00C80D32" w:rsidRPr="00F4022F" w:rsidRDefault="00C80D32" w:rsidP="00EA2EBE">
            <w:pPr>
              <w:rPr>
                <w:rFonts w:cs="Arial"/>
                <w:szCs w:val="22"/>
              </w:rPr>
            </w:pPr>
            <w:r w:rsidRPr="00F4022F">
              <w:rPr>
                <w:rFonts w:cs="Arial"/>
                <w:szCs w:val="22"/>
              </w:rPr>
              <w:t>Health and Wellbeing</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highlight w:val="yellow"/>
              </w:rPr>
            </w:pPr>
            <w:r w:rsidRPr="00515B7F">
              <w:rPr>
                <w:rFonts w:cs="Arial"/>
                <w:szCs w:val="22"/>
              </w:rPr>
              <w:t>x</w:t>
            </w:r>
          </w:p>
        </w:tc>
      </w:tr>
      <w:tr w:rsidR="00C80D32" w:rsidRPr="00674679" w:rsidTr="00EA2EBE">
        <w:tc>
          <w:tcPr>
            <w:tcW w:w="4423" w:type="dxa"/>
            <w:shd w:val="clear" w:color="auto" w:fill="auto"/>
          </w:tcPr>
          <w:p w:rsidR="00C80D32" w:rsidRPr="00F4022F" w:rsidRDefault="00C80D32" w:rsidP="00EA2EBE">
            <w:pPr>
              <w:rPr>
                <w:rFonts w:cs="Arial"/>
                <w:szCs w:val="22"/>
              </w:rPr>
            </w:pPr>
            <w:r w:rsidRPr="00F4022F">
              <w:rPr>
                <w:rFonts w:cs="Arial"/>
                <w:szCs w:val="22"/>
              </w:rPr>
              <w:t>Place</w:t>
            </w:r>
          </w:p>
          <w:p w:rsidR="00C80D32" w:rsidRPr="00F4022F" w:rsidRDefault="00C80D32" w:rsidP="00EA2EBE">
            <w:pPr>
              <w:rPr>
                <w:rFonts w:cs="Arial"/>
                <w:szCs w:val="22"/>
              </w:rPr>
            </w:pPr>
          </w:p>
        </w:tc>
        <w:tc>
          <w:tcPr>
            <w:tcW w:w="850" w:type="dxa"/>
            <w:shd w:val="clear" w:color="auto" w:fill="auto"/>
          </w:tcPr>
          <w:p w:rsidR="00C80D32" w:rsidRPr="00F4022F" w:rsidRDefault="00C80D32" w:rsidP="00EA2EBE">
            <w:pPr>
              <w:rPr>
                <w:rFonts w:cs="Arial"/>
                <w:szCs w:val="22"/>
              </w:rPr>
            </w:pPr>
            <w:r>
              <w:rPr>
                <w:rFonts w:cs="Arial"/>
                <w:szCs w:val="22"/>
              </w:rPr>
              <w:t>x</w:t>
            </w:r>
          </w:p>
        </w:tc>
      </w:tr>
    </w:tbl>
    <w:p w:rsidR="00C80D32" w:rsidRPr="00F4022F" w:rsidRDefault="00C80D32" w:rsidP="00C80D32">
      <w:pPr>
        <w:rPr>
          <w:rFonts w:cs="Arial"/>
          <w:szCs w:val="22"/>
        </w:rPr>
      </w:pPr>
    </w:p>
    <w:p w:rsidR="00C80D32" w:rsidRDefault="00C80D32" w:rsidP="00C80D32">
      <w:pPr>
        <w:ind w:firstLine="720"/>
      </w:pPr>
      <w:r>
        <w:t>Projects relating to People in the Corporate Plan:</w:t>
      </w:r>
    </w:p>
    <w:p w:rsidR="00C80D32" w:rsidRDefault="00C80D32" w:rsidP="00C80D32">
      <w:pPr>
        <w:ind w:firstLine="720"/>
      </w:pPr>
    </w:p>
    <w:tbl>
      <w:tblPr>
        <w:tblW w:w="5273" w:type="dxa"/>
        <w:tblInd w:w="534" w:type="dxa"/>
        <w:tblCellMar>
          <w:left w:w="10" w:type="dxa"/>
          <w:right w:w="10" w:type="dxa"/>
        </w:tblCellMar>
        <w:tblLook w:val="0000" w:firstRow="0" w:lastRow="0" w:firstColumn="0" w:lastColumn="0" w:noHBand="0" w:noVBand="0"/>
      </w:tblPr>
      <w:tblGrid>
        <w:gridCol w:w="4423"/>
        <w:gridCol w:w="850"/>
      </w:tblGrid>
      <w:tr w:rsidR="00C80D32" w:rsidTr="00EA2EBE">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EA2EBE">
            <w:pPr>
              <w:rPr>
                <w:szCs w:val="22"/>
              </w:rPr>
            </w:pPr>
            <w:r>
              <w:rPr>
                <w:szCs w:val="22"/>
              </w:rPr>
              <w:t xml:space="preserve">People </w:t>
            </w:r>
          </w:p>
          <w:p w:rsidR="00C80D32" w:rsidRDefault="00C80D32" w:rsidP="00EA2EBE">
            <w:pPr>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0D32" w:rsidRDefault="00C80D32" w:rsidP="00EA2EBE">
            <w:pPr>
              <w:rPr>
                <w:szCs w:val="22"/>
              </w:rPr>
            </w:pPr>
          </w:p>
        </w:tc>
      </w:tr>
    </w:tbl>
    <w:p w:rsidR="00C80D32" w:rsidRPr="00F4022F" w:rsidRDefault="00C80D32" w:rsidP="00C80D32">
      <w:pPr>
        <w:rPr>
          <w:rFonts w:cs="Arial"/>
          <w:szCs w:val="22"/>
        </w:rPr>
      </w:pPr>
    </w:p>
    <w:p w:rsidR="00C80D32" w:rsidRDefault="00C80D32" w:rsidP="00C80D32">
      <w:pPr>
        <w:rPr>
          <w:rFonts w:cs="Arial"/>
          <w:b/>
          <w:szCs w:val="22"/>
        </w:rPr>
      </w:pPr>
    </w:p>
    <w:p w:rsidR="00C80D32" w:rsidRPr="00A87399" w:rsidRDefault="004F7BE3" w:rsidP="00C80D32">
      <w:pPr>
        <w:rPr>
          <w:rFonts w:cs="Arial"/>
          <w:b/>
        </w:rPr>
      </w:pPr>
      <w:r>
        <w:rPr>
          <w:rFonts w:cs="Arial"/>
          <w:b/>
        </w:rPr>
        <w:t>3.</w:t>
      </w:r>
      <w:r w:rsidRPr="00A87399">
        <w:rPr>
          <w:rFonts w:cs="Arial"/>
          <w:b/>
        </w:rPr>
        <w:t xml:space="preserve"> RECOMMENDATIONS</w:t>
      </w:r>
    </w:p>
    <w:p w:rsidR="00C80D32" w:rsidRPr="002A671F" w:rsidRDefault="00C80D32" w:rsidP="004F7BE3">
      <w:pPr>
        <w:pStyle w:val="ListParagraph"/>
        <w:ind w:left="360"/>
        <w:rPr>
          <w:rFonts w:cs="Arial"/>
          <w:b/>
        </w:rPr>
      </w:pPr>
    </w:p>
    <w:p w:rsidR="00C80D32" w:rsidRDefault="00C80D32" w:rsidP="00682E9A">
      <w:pPr>
        <w:rPr>
          <w:szCs w:val="22"/>
        </w:rPr>
      </w:pPr>
      <w:r w:rsidRPr="007D610E">
        <w:rPr>
          <w:szCs w:val="22"/>
        </w:rPr>
        <w:t>Members are requested to:</w:t>
      </w:r>
    </w:p>
    <w:p w:rsidR="00C80D32" w:rsidRPr="007D610E" w:rsidRDefault="00C80D32" w:rsidP="00C80D32">
      <w:pPr>
        <w:ind w:left="360"/>
        <w:rPr>
          <w:szCs w:val="22"/>
        </w:rPr>
      </w:pPr>
    </w:p>
    <w:p w:rsidR="00C80D32" w:rsidRDefault="00C80D32" w:rsidP="00C80D32">
      <w:pPr>
        <w:rPr>
          <w:szCs w:val="22"/>
        </w:rPr>
      </w:pPr>
      <w:r>
        <w:rPr>
          <w:szCs w:val="22"/>
        </w:rPr>
        <w:t>3</w:t>
      </w:r>
      <w:r w:rsidRPr="007D610E">
        <w:rPr>
          <w:szCs w:val="22"/>
        </w:rPr>
        <w:t>.1 note the content of the report; and</w:t>
      </w:r>
      <w:r w:rsidR="002E74B1">
        <w:rPr>
          <w:szCs w:val="22"/>
        </w:rPr>
        <w:t xml:space="preserve"> conduct the hearing in accordance with the hearing procedure and,</w:t>
      </w:r>
    </w:p>
    <w:p w:rsidR="004F7BE3" w:rsidRPr="007D610E" w:rsidRDefault="004F7BE3" w:rsidP="00C80D32">
      <w:pPr>
        <w:rPr>
          <w:szCs w:val="22"/>
        </w:rPr>
      </w:pPr>
    </w:p>
    <w:p w:rsidR="00C80D32" w:rsidRPr="007D610E" w:rsidRDefault="00C80D32" w:rsidP="00C80D32">
      <w:pPr>
        <w:ind w:left="426" w:hanging="426"/>
        <w:rPr>
          <w:rFonts w:cs="Arial"/>
          <w:szCs w:val="22"/>
        </w:rPr>
      </w:pPr>
      <w:r>
        <w:rPr>
          <w:szCs w:val="22"/>
        </w:rPr>
        <w:t>3</w:t>
      </w:r>
      <w:r w:rsidRPr="007D610E">
        <w:rPr>
          <w:szCs w:val="22"/>
        </w:rPr>
        <w:t>.2 d</w:t>
      </w:r>
      <w:r w:rsidR="00DE0ACF">
        <w:rPr>
          <w:rFonts w:cs="Arial"/>
          <w:szCs w:val="22"/>
        </w:rPr>
        <w:t>etermine what steps</w:t>
      </w:r>
      <w:r w:rsidR="008B30C8">
        <w:rPr>
          <w:rFonts w:cs="Arial"/>
          <w:szCs w:val="22"/>
        </w:rPr>
        <w:t xml:space="preserve"> are appropriate to promote the Licensing objectives.</w:t>
      </w:r>
      <w:r w:rsidRPr="007D610E">
        <w:rPr>
          <w:rFonts w:cs="Arial"/>
          <w:szCs w:val="22"/>
        </w:rPr>
        <w:t xml:space="preserve"> </w:t>
      </w:r>
    </w:p>
    <w:p w:rsidR="00C80D32" w:rsidRPr="007D610E" w:rsidRDefault="00C80D32" w:rsidP="00C80D32">
      <w:pPr>
        <w:rPr>
          <w:szCs w:val="22"/>
        </w:rPr>
      </w:pPr>
    </w:p>
    <w:p w:rsidR="00C80D32" w:rsidRPr="00F4022F" w:rsidRDefault="00C80D32" w:rsidP="00C80D32">
      <w:pPr>
        <w:rPr>
          <w:rFonts w:cs="Arial"/>
          <w:b/>
          <w:szCs w:val="22"/>
        </w:rPr>
      </w:pPr>
    </w:p>
    <w:p w:rsidR="00C80D32" w:rsidRPr="00F4022F" w:rsidRDefault="00C80D32" w:rsidP="00C80D32">
      <w:pPr>
        <w:rPr>
          <w:rFonts w:cs="Arial"/>
          <w:b/>
          <w:szCs w:val="22"/>
        </w:rPr>
      </w:pPr>
    </w:p>
    <w:p w:rsidR="00C80D32" w:rsidRDefault="00C80D32" w:rsidP="00C80D32">
      <w:pPr>
        <w:rPr>
          <w:rFonts w:cs="Arial"/>
          <w:b/>
          <w:szCs w:val="22"/>
        </w:rPr>
      </w:pPr>
      <w:r w:rsidRPr="00F4022F">
        <w:rPr>
          <w:rFonts w:cs="Arial"/>
          <w:b/>
          <w:szCs w:val="22"/>
        </w:rPr>
        <w:t>4.   BACKGROUND TO THE REPORT</w:t>
      </w:r>
    </w:p>
    <w:p w:rsidR="00C80D32" w:rsidRDefault="00C80D32" w:rsidP="00C80D32">
      <w:pPr>
        <w:rPr>
          <w:rFonts w:cs="Arial"/>
          <w:b/>
          <w:szCs w:val="22"/>
        </w:rPr>
      </w:pPr>
    </w:p>
    <w:p w:rsidR="00C40289" w:rsidRDefault="00C80D32" w:rsidP="00C80D32">
      <w:pPr>
        <w:ind w:left="284" w:hanging="284"/>
        <w:rPr>
          <w:szCs w:val="22"/>
        </w:rPr>
      </w:pPr>
      <w:r w:rsidRPr="007D610E">
        <w:rPr>
          <w:szCs w:val="22"/>
        </w:rPr>
        <w:t xml:space="preserve">4.1 </w:t>
      </w:r>
      <w:r w:rsidR="008B30C8">
        <w:rPr>
          <w:szCs w:val="22"/>
        </w:rPr>
        <w:t>The Premises came to light in September 2017 when the annual renewal fee became due, numerous written requests were made for the fee as non-payment results in the licence being suspended therefore rendering all Lice</w:t>
      </w:r>
      <w:r w:rsidR="005426C4">
        <w:rPr>
          <w:szCs w:val="22"/>
        </w:rPr>
        <w:t xml:space="preserve">nsable </w:t>
      </w:r>
      <w:r w:rsidR="002E74B1">
        <w:rPr>
          <w:szCs w:val="22"/>
        </w:rPr>
        <w:t>Activity unlawful.</w:t>
      </w:r>
      <w:r w:rsidR="00682E9A">
        <w:rPr>
          <w:szCs w:val="22"/>
        </w:rPr>
        <w:t xml:space="preserve">  </w:t>
      </w:r>
      <w:r w:rsidR="002E74B1">
        <w:rPr>
          <w:szCs w:val="22"/>
        </w:rPr>
        <w:t>I</w:t>
      </w:r>
      <w:r w:rsidR="005426C4">
        <w:rPr>
          <w:szCs w:val="22"/>
        </w:rPr>
        <w:t>n this</w:t>
      </w:r>
      <w:r w:rsidR="008B30C8">
        <w:rPr>
          <w:szCs w:val="22"/>
        </w:rPr>
        <w:t xml:space="preserve"> case the </w:t>
      </w:r>
      <w:r w:rsidR="005426C4">
        <w:rPr>
          <w:szCs w:val="22"/>
        </w:rPr>
        <w:t xml:space="preserve">activities permitted at the premises are the </w:t>
      </w:r>
      <w:r w:rsidR="008B30C8">
        <w:rPr>
          <w:szCs w:val="22"/>
        </w:rPr>
        <w:t xml:space="preserve">sale of alcohol and late night refreshment. </w:t>
      </w:r>
    </w:p>
    <w:p w:rsidR="00C80D32" w:rsidRPr="007D610E" w:rsidRDefault="00C80D32" w:rsidP="00C80D32">
      <w:pPr>
        <w:rPr>
          <w:rFonts w:cs="Arial"/>
          <w:lang w:val="en"/>
        </w:rPr>
      </w:pPr>
    </w:p>
    <w:p w:rsidR="00454202" w:rsidRDefault="008B30C8" w:rsidP="00C80D32">
      <w:pPr>
        <w:ind w:left="426" w:hanging="426"/>
        <w:rPr>
          <w:rFonts w:cs="Arial"/>
          <w:lang w:val="en"/>
        </w:rPr>
      </w:pPr>
      <w:r>
        <w:rPr>
          <w:rFonts w:cs="Arial"/>
          <w:lang w:val="en"/>
        </w:rPr>
        <w:lastRenderedPageBreak/>
        <w:t xml:space="preserve">4.2 Visits to the premises were conducted at the time the </w:t>
      </w:r>
      <w:r w:rsidR="005426C4">
        <w:rPr>
          <w:rFonts w:cs="Arial"/>
          <w:lang w:val="en"/>
        </w:rPr>
        <w:t>written requests for payment were</w:t>
      </w:r>
      <w:r>
        <w:rPr>
          <w:rFonts w:cs="Arial"/>
          <w:lang w:val="en"/>
        </w:rPr>
        <w:t xml:space="preserve"> made but the premises was always closed and appeared to be under refurbishment. We have now established that the premises re opened in March 2018, although this fact has only</w:t>
      </w:r>
      <w:r w:rsidR="00454202">
        <w:rPr>
          <w:rFonts w:cs="Arial"/>
          <w:lang w:val="en"/>
        </w:rPr>
        <w:t xml:space="preserve"> come to light since the submission of the review (25</w:t>
      </w:r>
      <w:r w:rsidR="00454202" w:rsidRPr="00454202">
        <w:rPr>
          <w:rFonts w:cs="Arial"/>
          <w:vertAlign w:val="superscript"/>
          <w:lang w:val="en"/>
        </w:rPr>
        <w:t>th</w:t>
      </w:r>
      <w:r w:rsidR="00454202">
        <w:rPr>
          <w:rFonts w:cs="Arial"/>
          <w:lang w:val="en"/>
        </w:rPr>
        <w:t xml:space="preserve"> July 2018).</w:t>
      </w:r>
    </w:p>
    <w:p w:rsidR="00454202" w:rsidRDefault="00454202" w:rsidP="00C80D32">
      <w:pPr>
        <w:ind w:left="426" w:hanging="426"/>
        <w:rPr>
          <w:rFonts w:cs="Arial"/>
          <w:lang w:val="en"/>
        </w:rPr>
      </w:pPr>
    </w:p>
    <w:p w:rsidR="00454202" w:rsidRDefault="005426C4" w:rsidP="00C80D32">
      <w:pPr>
        <w:rPr>
          <w:rFonts w:cs="Arial"/>
          <w:lang w:val="en"/>
        </w:rPr>
      </w:pPr>
      <w:r>
        <w:rPr>
          <w:rFonts w:cs="Arial"/>
          <w:lang w:val="en"/>
        </w:rPr>
        <w:t>4.3</w:t>
      </w:r>
      <w:r w:rsidR="004A3F9A">
        <w:rPr>
          <w:rFonts w:cs="Arial"/>
          <w:lang w:val="en"/>
        </w:rPr>
        <w:t xml:space="preserve"> </w:t>
      </w:r>
      <w:r w:rsidR="00454202">
        <w:rPr>
          <w:rFonts w:cs="Arial"/>
          <w:lang w:val="en"/>
        </w:rPr>
        <w:t xml:space="preserve">The </w:t>
      </w:r>
      <w:proofErr w:type="spellStart"/>
      <w:r w:rsidR="00454202">
        <w:rPr>
          <w:rFonts w:cs="Arial"/>
          <w:lang w:val="en"/>
        </w:rPr>
        <w:t>licence</w:t>
      </w:r>
      <w:proofErr w:type="spellEnd"/>
      <w:r w:rsidR="00454202">
        <w:rPr>
          <w:rFonts w:cs="Arial"/>
          <w:lang w:val="en"/>
        </w:rPr>
        <w:t xml:space="preserve"> was formally suspended on the 25</w:t>
      </w:r>
      <w:r w:rsidR="00454202" w:rsidRPr="00454202">
        <w:rPr>
          <w:rFonts w:cs="Arial"/>
          <w:vertAlign w:val="superscript"/>
          <w:lang w:val="en"/>
        </w:rPr>
        <w:t>th</w:t>
      </w:r>
      <w:r w:rsidR="002E74B1">
        <w:rPr>
          <w:rFonts w:cs="Arial"/>
          <w:lang w:val="en"/>
        </w:rPr>
        <w:t xml:space="preserve"> May 2018 due to the</w:t>
      </w:r>
      <w:r w:rsidR="00682E9A">
        <w:rPr>
          <w:rFonts w:cs="Arial"/>
          <w:lang w:val="en"/>
        </w:rPr>
        <w:t xml:space="preserve"> </w:t>
      </w:r>
      <w:proofErr w:type="spellStart"/>
      <w:r w:rsidR="002E74B1">
        <w:rPr>
          <w:rFonts w:cs="Arial"/>
          <w:lang w:val="en"/>
        </w:rPr>
        <w:t>non payment</w:t>
      </w:r>
      <w:proofErr w:type="spellEnd"/>
      <w:r w:rsidR="002E74B1">
        <w:rPr>
          <w:rFonts w:cs="Arial"/>
          <w:lang w:val="en"/>
        </w:rPr>
        <w:t xml:space="preserve"> of fees.  T</w:t>
      </w:r>
      <w:r w:rsidR="00454202">
        <w:rPr>
          <w:rFonts w:cs="Arial"/>
          <w:lang w:val="en"/>
        </w:rPr>
        <w:t>hereafter numerous follow up visits revealed staffing and management issues whi</w:t>
      </w:r>
      <w:r>
        <w:rPr>
          <w:rFonts w:cs="Arial"/>
          <w:lang w:val="en"/>
        </w:rPr>
        <w:t xml:space="preserve">ch began to cause concern. The </w:t>
      </w:r>
      <w:proofErr w:type="spellStart"/>
      <w:r>
        <w:rPr>
          <w:rFonts w:cs="Arial"/>
          <w:lang w:val="en"/>
        </w:rPr>
        <w:t>Licence</w:t>
      </w:r>
      <w:proofErr w:type="spellEnd"/>
      <w:r>
        <w:rPr>
          <w:rFonts w:cs="Arial"/>
          <w:lang w:val="en"/>
        </w:rPr>
        <w:t xml:space="preserve"> H</w:t>
      </w:r>
      <w:r w:rsidR="00454202">
        <w:rPr>
          <w:rFonts w:cs="Arial"/>
          <w:lang w:val="en"/>
        </w:rPr>
        <w:t xml:space="preserve">older was not contactable and never present and it appeared </w:t>
      </w:r>
      <w:r w:rsidR="002E74B1">
        <w:rPr>
          <w:rFonts w:cs="Arial"/>
          <w:lang w:val="en"/>
        </w:rPr>
        <w:t xml:space="preserve">that </w:t>
      </w:r>
      <w:r w:rsidR="00454202">
        <w:rPr>
          <w:rFonts w:cs="Arial"/>
          <w:lang w:val="en"/>
        </w:rPr>
        <w:t xml:space="preserve">the premises was being run by a series of different individuals none of which were willing to take responsibility for the premises. The </w:t>
      </w:r>
      <w:proofErr w:type="spellStart"/>
      <w:r>
        <w:rPr>
          <w:rFonts w:cs="Arial"/>
          <w:lang w:val="en"/>
        </w:rPr>
        <w:t>L</w:t>
      </w:r>
      <w:r w:rsidR="00454202">
        <w:rPr>
          <w:rFonts w:cs="Arial"/>
          <w:lang w:val="en"/>
        </w:rPr>
        <w:t>icence</w:t>
      </w:r>
      <w:proofErr w:type="spellEnd"/>
      <w:r>
        <w:rPr>
          <w:rFonts w:cs="Arial"/>
          <w:lang w:val="en"/>
        </w:rPr>
        <w:t xml:space="preserve"> H</w:t>
      </w:r>
      <w:r w:rsidR="00454202">
        <w:rPr>
          <w:rFonts w:cs="Arial"/>
          <w:lang w:val="en"/>
        </w:rPr>
        <w:t>older was contacted in writing on the 8</w:t>
      </w:r>
      <w:r w:rsidR="00454202" w:rsidRPr="00454202">
        <w:rPr>
          <w:rFonts w:cs="Arial"/>
          <w:vertAlign w:val="superscript"/>
          <w:lang w:val="en"/>
        </w:rPr>
        <w:t>th</w:t>
      </w:r>
      <w:r w:rsidR="00454202">
        <w:rPr>
          <w:rFonts w:cs="Arial"/>
          <w:lang w:val="en"/>
        </w:rPr>
        <w:t xml:space="preserve"> June 2018 </w:t>
      </w:r>
      <w:r w:rsidR="002E74B1">
        <w:rPr>
          <w:rFonts w:cs="Arial"/>
          <w:lang w:val="en"/>
        </w:rPr>
        <w:t xml:space="preserve">(Appendix B) </w:t>
      </w:r>
      <w:r w:rsidR="00454202">
        <w:rPr>
          <w:rFonts w:cs="Arial"/>
          <w:lang w:val="en"/>
        </w:rPr>
        <w:t xml:space="preserve">where the concerns were </w:t>
      </w:r>
      <w:r w:rsidR="00BA4899">
        <w:rPr>
          <w:rFonts w:cs="Arial"/>
          <w:lang w:val="en"/>
        </w:rPr>
        <w:t>clearly</w:t>
      </w:r>
      <w:r w:rsidR="00454202">
        <w:rPr>
          <w:rFonts w:cs="Arial"/>
          <w:lang w:val="en"/>
        </w:rPr>
        <w:t xml:space="preserve"> communicated and instructions on what he needed to do to rectify the </w:t>
      </w:r>
      <w:r w:rsidR="00BA4899">
        <w:rPr>
          <w:rFonts w:cs="Arial"/>
          <w:lang w:val="en"/>
        </w:rPr>
        <w:t>position</w:t>
      </w:r>
      <w:r w:rsidR="00454202">
        <w:rPr>
          <w:rFonts w:cs="Arial"/>
          <w:lang w:val="en"/>
        </w:rPr>
        <w:t>.</w:t>
      </w:r>
    </w:p>
    <w:p w:rsidR="00C80D32" w:rsidRPr="007D610E" w:rsidRDefault="00C80D32" w:rsidP="00C80D32">
      <w:pPr>
        <w:rPr>
          <w:rFonts w:cs="Arial"/>
          <w:lang w:val="en"/>
        </w:rPr>
      </w:pPr>
    </w:p>
    <w:p w:rsidR="00BA4899" w:rsidRDefault="00BF05D3" w:rsidP="00C80D32">
      <w:pPr>
        <w:rPr>
          <w:rFonts w:cs="Arial"/>
          <w:lang w:val="en"/>
        </w:rPr>
      </w:pPr>
      <w:r>
        <w:rPr>
          <w:rFonts w:cs="Arial"/>
          <w:lang w:val="en"/>
        </w:rPr>
        <w:t xml:space="preserve">4.4 </w:t>
      </w:r>
      <w:r w:rsidR="00BA4899">
        <w:rPr>
          <w:rFonts w:cs="Arial"/>
          <w:lang w:val="en"/>
        </w:rPr>
        <w:t xml:space="preserve">No response </w:t>
      </w:r>
      <w:r w:rsidR="002E74B1">
        <w:rPr>
          <w:rFonts w:cs="Arial"/>
          <w:lang w:val="en"/>
        </w:rPr>
        <w:t>followed,</w:t>
      </w:r>
      <w:r w:rsidR="00BA4899">
        <w:rPr>
          <w:rFonts w:cs="Arial"/>
          <w:lang w:val="en"/>
        </w:rPr>
        <w:t xml:space="preserve"> so an Application to review the </w:t>
      </w:r>
      <w:proofErr w:type="spellStart"/>
      <w:r w:rsidR="00BA4899">
        <w:rPr>
          <w:rFonts w:cs="Arial"/>
          <w:lang w:val="en"/>
        </w:rPr>
        <w:t>licence</w:t>
      </w:r>
      <w:proofErr w:type="spellEnd"/>
      <w:r w:rsidR="00BA4899">
        <w:rPr>
          <w:rFonts w:cs="Arial"/>
          <w:lang w:val="en"/>
        </w:rPr>
        <w:t xml:space="preserve"> was submitted which did prompt action from the licensee. Since the </w:t>
      </w:r>
      <w:r w:rsidR="005426C4">
        <w:rPr>
          <w:rFonts w:cs="Arial"/>
          <w:lang w:val="en"/>
        </w:rPr>
        <w:t xml:space="preserve">service of the application the </w:t>
      </w:r>
      <w:proofErr w:type="spellStart"/>
      <w:r w:rsidR="005426C4">
        <w:rPr>
          <w:rFonts w:cs="Arial"/>
          <w:lang w:val="en"/>
        </w:rPr>
        <w:t>Licence</w:t>
      </w:r>
      <w:proofErr w:type="spellEnd"/>
      <w:r w:rsidR="005426C4">
        <w:rPr>
          <w:rFonts w:cs="Arial"/>
          <w:lang w:val="en"/>
        </w:rPr>
        <w:t xml:space="preserve"> H</w:t>
      </w:r>
      <w:r w:rsidR="00BA4899">
        <w:rPr>
          <w:rFonts w:cs="Arial"/>
          <w:lang w:val="en"/>
        </w:rPr>
        <w:t xml:space="preserve">older has chosen to close the premises and at the same time the tenant has walked away from the business, whilst </w:t>
      </w:r>
      <w:r w:rsidR="002E74B1">
        <w:rPr>
          <w:rFonts w:cs="Arial"/>
          <w:lang w:val="en"/>
        </w:rPr>
        <w:t>closed, the</w:t>
      </w:r>
      <w:r w:rsidR="00BA4899">
        <w:rPr>
          <w:rFonts w:cs="Arial"/>
          <w:lang w:val="en"/>
        </w:rPr>
        <w:t xml:space="preserve"> premises has not presented a risk.</w:t>
      </w:r>
    </w:p>
    <w:p w:rsidR="00CA7051" w:rsidRDefault="00CA7051" w:rsidP="00C80D32">
      <w:pPr>
        <w:rPr>
          <w:rFonts w:cs="Arial"/>
          <w:lang w:val="en"/>
        </w:rPr>
      </w:pPr>
    </w:p>
    <w:p w:rsidR="00CA7051" w:rsidRDefault="00CA7051" w:rsidP="00C80D32">
      <w:pPr>
        <w:rPr>
          <w:rFonts w:cs="Arial"/>
          <w:lang w:val="en"/>
        </w:rPr>
      </w:pPr>
      <w:r>
        <w:rPr>
          <w:rFonts w:cs="Arial"/>
          <w:lang w:val="en"/>
        </w:rPr>
        <w:t xml:space="preserve">4.5 </w:t>
      </w:r>
      <w:r w:rsidR="00BA4899">
        <w:rPr>
          <w:rFonts w:cs="Arial"/>
          <w:lang w:val="en"/>
        </w:rPr>
        <w:t>On the 17</w:t>
      </w:r>
      <w:r w:rsidR="00BA4899" w:rsidRPr="00BA4899">
        <w:rPr>
          <w:rFonts w:cs="Arial"/>
          <w:vertAlign w:val="superscript"/>
          <w:lang w:val="en"/>
        </w:rPr>
        <w:t>th</w:t>
      </w:r>
      <w:r w:rsidR="005426C4">
        <w:rPr>
          <w:rFonts w:cs="Arial"/>
          <w:lang w:val="en"/>
        </w:rPr>
        <w:t xml:space="preserve"> July 2018 the </w:t>
      </w:r>
      <w:proofErr w:type="spellStart"/>
      <w:r w:rsidR="005426C4">
        <w:rPr>
          <w:rFonts w:cs="Arial"/>
          <w:lang w:val="en"/>
        </w:rPr>
        <w:t>Licence</w:t>
      </w:r>
      <w:proofErr w:type="spellEnd"/>
      <w:r w:rsidR="005426C4">
        <w:rPr>
          <w:rFonts w:cs="Arial"/>
          <w:lang w:val="en"/>
        </w:rPr>
        <w:t xml:space="preserve"> H</w:t>
      </w:r>
      <w:r w:rsidR="00BA4899">
        <w:rPr>
          <w:rFonts w:cs="Arial"/>
          <w:lang w:val="en"/>
        </w:rPr>
        <w:t>older and his brother engaged with the Licensing Authority to seek the views on possible outcomes, they indicated they would be stepping back in to take control of the premises and intended to remain closed u</w:t>
      </w:r>
      <w:r w:rsidR="002E74B1">
        <w:rPr>
          <w:rFonts w:cs="Arial"/>
          <w:lang w:val="en"/>
        </w:rPr>
        <w:t>ntil all parties were satisfied.</w:t>
      </w:r>
      <w:r w:rsidR="00682E9A">
        <w:rPr>
          <w:rFonts w:cs="Arial"/>
          <w:lang w:val="en"/>
        </w:rPr>
        <w:t xml:space="preserve">  </w:t>
      </w:r>
      <w:r w:rsidR="002E74B1">
        <w:rPr>
          <w:rFonts w:cs="Arial"/>
          <w:lang w:val="en"/>
        </w:rPr>
        <w:t>A</w:t>
      </w:r>
      <w:r w:rsidR="00BA4899">
        <w:rPr>
          <w:rFonts w:cs="Arial"/>
          <w:lang w:val="en"/>
        </w:rPr>
        <w:t>t the time of the meeting there were still outstanding matters relating to cleanliness and disrepair in the kitchen.</w:t>
      </w:r>
    </w:p>
    <w:p w:rsidR="00CA7051" w:rsidRDefault="00CA7051" w:rsidP="00C80D32">
      <w:pPr>
        <w:rPr>
          <w:rFonts w:cs="Arial"/>
          <w:lang w:val="en"/>
        </w:rPr>
      </w:pPr>
    </w:p>
    <w:p w:rsidR="00BA4899" w:rsidRDefault="00BA4899" w:rsidP="00C80D32">
      <w:pPr>
        <w:rPr>
          <w:rFonts w:cs="Arial"/>
          <w:lang w:val="en"/>
        </w:rPr>
      </w:pPr>
      <w:r>
        <w:rPr>
          <w:rFonts w:cs="Arial"/>
          <w:lang w:val="en"/>
        </w:rPr>
        <w:t>4.6 On the 31</w:t>
      </w:r>
      <w:r w:rsidRPr="00BA4899">
        <w:rPr>
          <w:rFonts w:cs="Arial"/>
          <w:vertAlign w:val="superscript"/>
          <w:lang w:val="en"/>
        </w:rPr>
        <w:t>st</w:t>
      </w:r>
      <w:r>
        <w:rPr>
          <w:rFonts w:cs="Arial"/>
          <w:lang w:val="en"/>
        </w:rPr>
        <w:t xml:space="preserve"> July 2018 a list of proposed cond</w:t>
      </w:r>
      <w:r w:rsidR="005426C4">
        <w:rPr>
          <w:rFonts w:cs="Arial"/>
          <w:lang w:val="en"/>
        </w:rPr>
        <w:t xml:space="preserve">itions was sent to the </w:t>
      </w:r>
      <w:proofErr w:type="spellStart"/>
      <w:r w:rsidR="005426C4">
        <w:rPr>
          <w:rFonts w:cs="Arial"/>
          <w:lang w:val="en"/>
        </w:rPr>
        <w:t>Licence</w:t>
      </w:r>
      <w:proofErr w:type="spellEnd"/>
      <w:r w:rsidR="005426C4">
        <w:rPr>
          <w:rFonts w:cs="Arial"/>
          <w:lang w:val="en"/>
        </w:rPr>
        <w:t xml:space="preserve"> H</w:t>
      </w:r>
      <w:r>
        <w:rPr>
          <w:rFonts w:cs="Arial"/>
          <w:lang w:val="en"/>
        </w:rPr>
        <w:t>older, the Licensing Authority feel that these measures if adopted will ensure adequate promotion of the licensing objectives. The list of conditions is attached as Appendix A.</w:t>
      </w:r>
    </w:p>
    <w:p w:rsidR="00BA4899" w:rsidRDefault="00BA4899" w:rsidP="00C80D32">
      <w:pPr>
        <w:rPr>
          <w:rFonts w:cs="Arial"/>
          <w:lang w:val="en"/>
        </w:rPr>
      </w:pPr>
    </w:p>
    <w:p w:rsidR="00C80D32" w:rsidRPr="00F4022F" w:rsidRDefault="00C80D32" w:rsidP="00C80D32">
      <w:pPr>
        <w:shd w:val="clear" w:color="auto" w:fill="FFFFFF"/>
        <w:outlineLvl w:val="3"/>
        <w:rPr>
          <w:rFonts w:cs="Arial"/>
          <w:color w:val="000000"/>
          <w:szCs w:val="22"/>
          <w:lang w:val="en"/>
        </w:rPr>
      </w:pPr>
      <w:r w:rsidRPr="00F4022F">
        <w:rPr>
          <w:rFonts w:cs="Arial"/>
          <w:b/>
          <w:bCs/>
          <w:vanish/>
          <w:color w:val="FFFFFF"/>
          <w:szCs w:val="22"/>
          <w:shd w:val="clear" w:color="auto" w:fill="660066"/>
          <w:lang w:val="en"/>
        </w:rPr>
        <w:t>E+W</w:t>
      </w:r>
    </w:p>
    <w:p w:rsidR="00C80D32" w:rsidRDefault="00C80D32" w:rsidP="00C80D32">
      <w:pPr>
        <w:ind w:left="283"/>
        <w:rPr>
          <w:rFonts w:cs="Arial"/>
          <w:b/>
          <w:noProof/>
          <w:sz w:val="24"/>
          <w:szCs w:val="24"/>
        </w:rPr>
      </w:pPr>
    </w:p>
    <w:p w:rsidR="00C80D32" w:rsidRPr="00E352B4" w:rsidRDefault="00C80D32" w:rsidP="00C80D32">
      <w:pPr>
        <w:ind w:left="283"/>
        <w:rPr>
          <w:rFonts w:cs="Arial"/>
          <w:b/>
          <w:noProof/>
          <w:sz w:val="24"/>
          <w:szCs w:val="24"/>
        </w:rPr>
      </w:pPr>
      <w:r>
        <w:rPr>
          <w:rFonts w:cs="Arial"/>
          <w:b/>
          <w:noProof/>
          <w:sz w:val="24"/>
          <w:szCs w:val="24"/>
        </w:rPr>
        <w:t>5.</w:t>
      </w:r>
      <w:r w:rsidRPr="00E352B4">
        <w:rPr>
          <w:rFonts w:cs="Arial"/>
          <w:b/>
          <w:noProof/>
          <w:sz w:val="24"/>
          <w:szCs w:val="24"/>
        </w:rPr>
        <w:t xml:space="preserve">REPRESENTATIONS FROM </w:t>
      </w:r>
      <w:r>
        <w:rPr>
          <w:rFonts w:cs="Arial"/>
          <w:b/>
          <w:noProof/>
          <w:sz w:val="24"/>
          <w:szCs w:val="24"/>
        </w:rPr>
        <w:t>RESPONSIBLE AUTHORITIES</w:t>
      </w:r>
    </w:p>
    <w:p w:rsidR="00C80D32" w:rsidRPr="00E352B4" w:rsidRDefault="00C80D32" w:rsidP="00C80D32">
      <w:pPr>
        <w:rPr>
          <w:rFonts w:cs="Arial"/>
          <w:b/>
          <w:noProof/>
        </w:rPr>
      </w:pPr>
    </w:p>
    <w:p w:rsidR="00C80D32" w:rsidRPr="007D610E" w:rsidRDefault="00DE0ACF" w:rsidP="00C80D32">
      <w:pPr>
        <w:ind w:left="426" w:hanging="426"/>
        <w:rPr>
          <w:rFonts w:cs="Arial"/>
          <w:noProof/>
          <w:szCs w:val="22"/>
        </w:rPr>
      </w:pPr>
      <w:r>
        <w:rPr>
          <w:rFonts w:cs="Arial"/>
          <w:noProof/>
          <w:szCs w:val="22"/>
        </w:rPr>
        <w:t>5.1 The only party</w:t>
      </w:r>
      <w:r w:rsidR="00D96645">
        <w:rPr>
          <w:rFonts w:cs="Arial"/>
          <w:noProof/>
          <w:szCs w:val="22"/>
        </w:rPr>
        <w:t xml:space="preserve"> to t</w:t>
      </w:r>
      <w:r w:rsidR="002E74B1">
        <w:rPr>
          <w:rFonts w:cs="Arial"/>
          <w:noProof/>
          <w:szCs w:val="22"/>
        </w:rPr>
        <w:t>his application is the Licensing</w:t>
      </w:r>
      <w:r w:rsidR="00D96645">
        <w:rPr>
          <w:rFonts w:cs="Arial"/>
          <w:noProof/>
          <w:szCs w:val="22"/>
        </w:rPr>
        <w:t xml:space="preserve"> Authority.</w:t>
      </w:r>
      <w:r w:rsidR="00126DFA">
        <w:rPr>
          <w:rFonts w:cs="Arial"/>
          <w:noProof/>
          <w:szCs w:val="22"/>
        </w:rPr>
        <w:t xml:space="preserve"> </w:t>
      </w:r>
      <w:r w:rsidR="00D96645">
        <w:rPr>
          <w:rFonts w:cs="Arial"/>
          <w:noProof/>
          <w:szCs w:val="22"/>
        </w:rPr>
        <w:t>A copy of</w:t>
      </w:r>
      <w:r w:rsidR="002E74B1">
        <w:rPr>
          <w:rFonts w:cs="Arial"/>
          <w:noProof/>
          <w:szCs w:val="22"/>
        </w:rPr>
        <w:t xml:space="preserve"> the application and accosiated</w:t>
      </w:r>
      <w:r w:rsidR="00D96645">
        <w:rPr>
          <w:rFonts w:cs="Arial"/>
          <w:noProof/>
          <w:szCs w:val="22"/>
        </w:rPr>
        <w:t xml:space="preserve"> documents are found as Appendix B</w:t>
      </w:r>
    </w:p>
    <w:p w:rsidR="00C80D32" w:rsidRPr="007D610E" w:rsidRDefault="00C80D32" w:rsidP="00C80D32">
      <w:pPr>
        <w:rPr>
          <w:rFonts w:cs="Arial"/>
          <w:noProof/>
          <w:szCs w:val="22"/>
        </w:rPr>
      </w:pPr>
    </w:p>
    <w:p w:rsidR="00C80D32" w:rsidRPr="002A671F" w:rsidRDefault="00C80D32" w:rsidP="00C80D32">
      <w:pPr>
        <w:rPr>
          <w:rFonts w:cs="Arial"/>
          <w:b/>
          <w:noProof/>
          <w:szCs w:val="22"/>
        </w:rPr>
      </w:pPr>
      <w:r w:rsidRPr="002A671F">
        <w:rPr>
          <w:rFonts w:cs="Arial"/>
          <w:b/>
          <w:noProof/>
          <w:szCs w:val="22"/>
        </w:rPr>
        <w:t xml:space="preserve">6.    REPRESENTATIONS FROM OTHER INTERESTED PARTIES   </w:t>
      </w:r>
    </w:p>
    <w:p w:rsidR="00C80D32" w:rsidRPr="002A671F" w:rsidRDefault="00C80D32" w:rsidP="00C80D32">
      <w:pPr>
        <w:rPr>
          <w:rFonts w:cs="Arial"/>
          <w:noProof/>
          <w:szCs w:val="22"/>
        </w:rPr>
      </w:pPr>
    </w:p>
    <w:p w:rsidR="00C80D32" w:rsidRPr="002A671F" w:rsidRDefault="00D415E1" w:rsidP="00C80D32">
      <w:pPr>
        <w:ind w:left="426" w:hanging="426"/>
        <w:rPr>
          <w:rFonts w:cs="Arial"/>
          <w:noProof/>
          <w:szCs w:val="22"/>
        </w:rPr>
      </w:pPr>
      <w:r>
        <w:rPr>
          <w:rFonts w:cs="Arial"/>
          <w:noProof/>
          <w:szCs w:val="22"/>
        </w:rPr>
        <w:t xml:space="preserve">6.1 </w:t>
      </w:r>
      <w:r w:rsidR="00D96645">
        <w:rPr>
          <w:rFonts w:cs="Arial"/>
          <w:noProof/>
          <w:szCs w:val="22"/>
        </w:rPr>
        <w:t xml:space="preserve"> No represenations from Interested Parties have been submitted.</w:t>
      </w:r>
    </w:p>
    <w:p w:rsidR="00C80D32" w:rsidRPr="00F4022F" w:rsidRDefault="00C80D32" w:rsidP="00C80D32">
      <w:pPr>
        <w:rPr>
          <w:rFonts w:cs="Arial"/>
          <w:szCs w:val="22"/>
        </w:rPr>
      </w:pPr>
    </w:p>
    <w:p w:rsidR="00C80D32" w:rsidRPr="002A671F" w:rsidRDefault="00C80D32" w:rsidP="00C80D32">
      <w:pPr>
        <w:rPr>
          <w:rFonts w:cs="Arial"/>
          <w:b/>
          <w:color w:val="000000"/>
          <w:szCs w:val="22"/>
        </w:rPr>
      </w:pPr>
    </w:p>
    <w:p w:rsidR="00C80D32" w:rsidRPr="002A671F" w:rsidRDefault="00C80D32" w:rsidP="00C80D32">
      <w:pPr>
        <w:rPr>
          <w:rFonts w:cs="Arial"/>
          <w:b/>
          <w:color w:val="000000"/>
          <w:szCs w:val="22"/>
        </w:rPr>
      </w:pPr>
      <w:r w:rsidRPr="002A671F">
        <w:rPr>
          <w:rFonts w:cs="Arial"/>
          <w:b/>
          <w:color w:val="000000"/>
          <w:szCs w:val="22"/>
        </w:rPr>
        <w:t xml:space="preserve">7.    DECISION TO BE MADE BY THE </w:t>
      </w:r>
      <w:r>
        <w:rPr>
          <w:rFonts w:cs="Arial"/>
          <w:b/>
          <w:color w:val="000000"/>
          <w:szCs w:val="22"/>
        </w:rPr>
        <w:t>LICENSING ACT PANEL</w:t>
      </w:r>
      <w:r w:rsidRPr="002A671F">
        <w:rPr>
          <w:rFonts w:cs="Arial"/>
          <w:b/>
          <w:color w:val="000000"/>
          <w:szCs w:val="22"/>
        </w:rPr>
        <w:t xml:space="preserve"> </w:t>
      </w:r>
    </w:p>
    <w:p w:rsidR="00C80D32" w:rsidRPr="002A671F" w:rsidRDefault="00C80D32" w:rsidP="00C80D32">
      <w:pPr>
        <w:jc w:val="both"/>
        <w:rPr>
          <w:rFonts w:cs="Arial"/>
          <w:b/>
          <w:szCs w:val="22"/>
        </w:rPr>
      </w:pPr>
    </w:p>
    <w:p w:rsidR="00C80D32" w:rsidRDefault="00C80D32" w:rsidP="00C80D32">
      <w:pPr>
        <w:jc w:val="both"/>
        <w:rPr>
          <w:rFonts w:cs="Arial"/>
          <w:b/>
          <w:color w:val="000000"/>
          <w:szCs w:val="22"/>
          <w:lang w:val="en"/>
        </w:rPr>
      </w:pPr>
      <w:r w:rsidRPr="002A671F">
        <w:rPr>
          <w:rFonts w:cs="Arial"/>
          <w:b/>
          <w:color w:val="000000"/>
          <w:szCs w:val="22"/>
          <w:lang w:val="en"/>
        </w:rPr>
        <w:t xml:space="preserve">       Determination</w:t>
      </w:r>
      <w:r w:rsidR="005C476A">
        <w:rPr>
          <w:rFonts w:cs="Arial"/>
          <w:b/>
          <w:color w:val="000000"/>
          <w:szCs w:val="22"/>
          <w:lang w:val="en"/>
        </w:rPr>
        <w:t xml:space="preserve"> of </w:t>
      </w:r>
      <w:r w:rsidR="004F7BE3">
        <w:rPr>
          <w:rFonts w:cs="Arial"/>
          <w:b/>
          <w:color w:val="000000"/>
          <w:szCs w:val="22"/>
          <w:lang w:val="en"/>
        </w:rPr>
        <w:t xml:space="preserve">an </w:t>
      </w:r>
      <w:r w:rsidR="005C476A">
        <w:rPr>
          <w:rFonts w:cs="Arial"/>
          <w:b/>
          <w:color w:val="000000"/>
          <w:szCs w:val="22"/>
          <w:lang w:val="en"/>
        </w:rPr>
        <w:t>application under Section</w:t>
      </w:r>
      <w:r w:rsidR="002E74B1">
        <w:rPr>
          <w:rFonts w:cs="Arial"/>
          <w:b/>
          <w:color w:val="000000"/>
          <w:szCs w:val="22"/>
          <w:lang w:val="en"/>
        </w:rPr>
        <w:t xml:space="preserve"> 52 </w:t>
      </w:r>
      <w:r w:rsidRPr="002A671F">
        <w:rPr>
          <w:rFonts w:cs="Arial"/>
          <w:b/>
          <w:color w:val="000000"/>
          <w:szCs w:val="22"/>
          <w:lang w:val="en"/>
        </w:rPr>
        <w:t>of the Licensing Act 2003</w:t>
      </w:r>
    </w:p>
    <w:p w:rsidR="00C24383" w:rsidRDefault="00C24383" w:rsidP="00C80D32">
      <w:pPr>
        <w:jc w:val="both"/>
        <w:rPr>
          <w:rFonts w:cs="Arial"/>
          <w:b/>
          <w:color w:val="000000"/>
          <w:szCs w:val="22"/>
          <w:lang w:val="en"/>
        </w:rPr>
      </w:pPr>
    </w:p>
    <w:p w:rsidR="00C24383" w:rsidRPr="00C24383" w:rsidRDefault="00C24383" w:rsidP="00C80D32">
      <w:pPr>
        <w:jc w:val="both"/>
        <w:rPr>
          <w:rFonts w:cs="Arial"/>
          <w:color w:val="000000"/>
          <w:szCs w:val="22"/>
          <w:lang w:val="en"/>
          <w:specVanish/>
        </w:rPr>
      </w:pPr>
      <w:r>
        <w:rPr>
          <w:rFonts w:cs="Arial"/>
          <w:color w:val="000000"/>
          <w:szCs w:val="22"/>
          <w:lang w:val="en"/>
        </w:rPr>
        <w:t xml:space="preserve">Numerous paragraphs of the Section 182 Guidance are worthy of </w:t>
      </w:r>
      <w:r w:rsidR="00423C92">
        <w:rPr>
          <w:rFonts w:cs="Arial"/>
          <w:color w:val="000000"/>
          <w:szCs w:val="22"/>
          <w:lang w:val="en"/>
        </w:rPr>
        <w:t>mention;</w:t>
      </w:r>
    </w:p>
    <w:p w:rsidR="00DE0ACF" w:rsidRPr="00DE0ACF" w:rsidRDefault="00DE0ACF" w:rsidP="00DE0ACF">
      <w:pPr>
        <w:autoSpaceDE w:val="0"/>
        <w:autoSpaceDN w:val="0"/>
        <w:adjustRightInd w:val="0"/>
        <w:rPr>
          <w:rFonts w:eastAsiaTheme="minorHAnsi" w:cs="Arial"/>
          <w:color w:val="000000"/>
          <w:sz w:val="24"/>
          <w:szCs w:val="24"/>
          <w:lang w:eastAsia="en-US"/>
        </w:rPr>
      </w:pPr>
    </w:p>
    <w:p w:rsidR="00DE0ACF" w:rsidRPr="00DE0ACF" w:rsidRDefault="00DE0ACF" w:rsidP="00DE0ACF">
      <w:pPr>
        <w:autoSpaceDE w:val="0"/>
        <w:autoSpaceDN w:val="0"/>
        <w:adjustRightInd w:val="0"/>
        <w:rPr>
          <w:rFonts w:eastAsiaTheme="minorHAnsi" w:cs="Arial"/>
          <w:i/>
          <w:color w:val="000000"/>
          <w:sz w:val="23"/>
          <w:szCs w:val="23"/>
          <w:lang w:eastAsia="en-US"/>
        </w:rPr>
      </w:pPr>
      <w:r w:rsidRPr="00DE0ACF">
        <w:rPr>
          <w:rFonts w:eastAsiaTheme="minorHAnsi" w:cs="Arial"/>
          <w:i/>
          <w:color w:val="000000"/>
          <w:sz w:val="23"/>
          <w:szCs w:val="23"/>
          <w:lang w:eastAsia="en-US"/>
        </w:rPr>
        <w:t xml:space="preserve">11.17 The licensing authority may decide that the review does not require it to take any further steps appropriate to promoting the licensing objectives. In addition, there is nothing to prevent a licensing authority issuing an informal warning to the licence holder and/or to recommend improvement within a particular period of time. It is expected that licensing authorities will regard such informal warnings as an important mechanism for ensuring that the licensing objectives are effectively promoted and that warnings should be issued in writing to the licence holder </w:t>
      </w:r>
    </w:p>
    <w:p w:rsidR="00C80D32" w:rsidRPr="002A671F" w:rsidRDefault="00C80D32" w:rsidP="00C80D32">
      <w:pPr>
        <w:jc w:val="both"/>
        <w:rPr>
          <w:rFonts w:cs="Arial"/>
          <w:b/>
          <w:color w:val="000000"/>
          <w:szCs w:val="22"/>
          <w:lang w:val="en"/>
          <w:specVanish/>
        </w:rPr>
      </w:pPr>
    </w:p>
    <w:p w:rsidR="005426C4" w:rsidRPr="005426C4" w:rsidRDefault="005426C4" w:rsidP="005426C4">
      <w:pPr>
        <w:autoSpaceDE w:val="0"/>
        <w:autoSpaceDN w:val="0"/>
        <w:adjustRightInd w:val="0"/>
        <w:rPr>
          <w:rFonts w:eastAsiaTheme="minorHAnsi" w:cs="Arial"/>
          <w:color w:val="000000"/>
          <w:sz w:val="24"/>
          <w:szCs w:val="24"/>
          <w:lang w:eastAsia="en-US"/>
        </w:rPr>
      </w:pPr>
    </w:p>
    <w:p w:rsidR="005426C4" w:rsidRPr="005426C4" w:rsidRDefault="005426C4" w:rsidP="005426C4">
      <w:pPr>
        <w:autoSpaceDE w:val="0"/>
        <w:autoSpaceDN w:val="0"/>
        <w:adjustRightInd w:val="0"/>
        <w:spacing w:after="181"/>
        <w:rPr>
          <w:rFonts w:eastAsiaTheme="minorHAnsi" w:cs="Arial"/>
          <w:i/>
          <w:color w:val="000000"/>
          <w:sz w:val="23"/>
          <w:szCs w:val="23"/>
          <w:lang w:eastAsia="en-US"/>
        </w:rPr>
      </w:pPr>
      <w:r w:rsidRPr="005426C4">
        <w:rPr>
          <w:rFonts w:eastAsiaTheme="minorHAnsi" w:cs="Arial"/>
          <w:i/>
          <w:color w:val="000000"/>
          <w:sz w:val="23"/>
          <w:szCs w:val="23"/>
          <w:lang w:eastAsia="en-US"/>
        </w:rPr>
        <w:t xml:space="preserve">11.18 However, where responsible authorities such as the police or environmental health officers have already issued warnings requiring improvement – either orally or in writing – that have failed as part of their own stepped approach to address concerns, licensing authorities should not merely repeat that approach and should take this into account when considering what further action is appropriate. Similarly, licensing authorities may take into account any civil immigration penalties which a licence holder has been required to pay for employing an illegal worker. </w:t>
      </w:r>
    </w:p>
    <w:p w:rsidR="00C24383" w:rsidRPr="00C24383" w:rsidRDefault="005426C4" w:rsidP="00C24383">
      <w:pPr>
        <w:pStyle w:val="Default"/>
        <w:rPr>
          <w:i/>
          <w:sz w:val="23"/>
          <w:szCs w:val="23"/>
        </w:rPr>
      </w:pPr>
      <w:r w:rsidRPr="005426C4">
        <w:rPr>
          <w:i/>
          <w:sz w:val="23"/>
          <w:szCs w:val="23"/>
        </w:rPr>
        <w:t xml:space="preserve">11.19 Where the licensing authority considers that action under its statutory powers is appropriate, it may take any of the following steps: </w:t>
      </w:r>
    </w:p>
    <w:p w:rsidR="00C24383" w:rsidRPr="00C24383" w:rsidRDefault="00C24383" w:rsidP="00C24383">
      <w:pPr>
        <w:pStyle w:val="Default"/>
        <w:rPr>
          <w:i/>
          <w:sz w:val="23"/>
          <w:szCs w:val="23"/>
        </w:rPr>
      </w:pPr>
      <w:r w:rsidRPr="00C24383">
        <w:rPr>
          <w:i/>
          <w:sz w:val="23"/>
          <w:szCs w:val="23"/>
        </w:rPr>
        <w:t xml:space="preserve">• modify the conditions of the premises licence (which includes adding new conditions or any alteration or omission of an existing condition), for example, by reducing the hours of opening or by requiring door supervisors at particular times; </w:t>
      </w:r>
    </w:p>
    <w:p w:rsidR="00C24383" w:rsidRPr="00C24383" w:rsidRDefault="00C24383" w:rsidP="00C24383">
      <w:pPr>
        <w:autoSpaceDE w:val="0"/>
        <w:autoSpaceDN w:val="0"/>
        <w:adjustRightInd w:val="0"/>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exclude a licensable activity from the scope of the licence, for example, to exclude the performance of live music or playing of recorded music (where it is not within the incidental live and recorded music exemption) </w:t>
      </w:r>
    </w:p>
    <w:p w:rsidR="00C24383" w:rsidRPr="00C24383" w:rsidRDefault="00C24383" w:rsidP="00C24383">
      <w:pPr>
        <w:autoSpaceDE w:val="0"/>
        <w:autoSpaceDN w:val="0"/>
        <w:adjustRightInd w:val="0"/>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remove the designated premises supervisor, for example, because they consider that the problems are the result of poor management; </w:t>
      </w:r>
    </w:p>
    <w:p w:rsidR="00C24383" w:rsidRPr="00C24383" w:rsidRDefault="00C24383" w:rsidP="00C24383">
      <w:pPr>
        <w:autoSpaceDE w:val="0"/>
        <w:autoSpaceDN w:val="0"/>
        <w:adjustRightInd w:val="0"/>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suspend the licence for a period not exceeding three months; </w:t>
      </w:r>
    </w:p>
    <w:p w:rsidR="00C24383" w:rsidRDefault="00C24383" w:rsidP="00C24383">
      <w:pPr>
        <w:autoSpaceDE w:val="0"/>
        <w:autoSpaceDN w:val="0"/>
        <w:adjustRightInd w:val="0"/>
        <w:rPr>
          <w:rFonts w:eastAsiaTheme="minorHAnsi" w:cs="Arial"/>
          <w:i/>
          <w:color w:val="000000"/>
          <w:sz w:val="23"/>
          <w:szCs w:val="23"/>
          <w:lang w:eastAsia="en-US"/>
        </w:rPr>
      </w:pPr>
      <w:r w:rsidRPr="00C24383">
        <w:rPr>
          <w:rFonts w:eastAsiaTheme="minorHAnsi" w:cs="Arial"/>
          <w:i/>
          <w:color w:val="000000"/>
          <w:sz w:val="23"/>
          <w:szCs w:val="23"/>
          <w:lang w:eastAsia="en-US"/>
        </w:rPr>
        <w:t xml:space="preserve">• revoke the licence. </w:t>
      </w:r>
    </w:p>
    <w:p w:rsidR="00C24383" w:rsidRPr="00C24383" w:rsidRDefault="00C24383" w:rsidP="00C24383">
      <w:pPr>
        <w:autoSpaceDE w:val="0"/>
        <w:autoSpaceDN w:val="0"/>
        <w:adjustRightInd w:val="0"/>
        <w:rPr>
          <w:rFonts w:eastAsiaTheme="minorHAnsi" w:cs="Arial"/>
          <w:i/>
          <w:color w:val="000000"/>
          <w:sz w:val="23"/>
          <w:szCs w:val="23"/>
          <w:lang w:eastAsia="en-US"/>
        </w:rPr>
      </w:pPr>
    </w:p>
    <w:p w:rsidR="00C24383" w:rsidRPr="00C24383" w:rsidRDefault="00C24383" w:rsidP="00C24383">
      <w:pPr>
        <w:autoSpaceDE w:val="0"/>
        <w:autoSpaceDN w:val="0"/>
        <w:adjustRightInd w:val="0"/>
        <w:spacing w:after="184"/>
        <w:rPr>
          <w:rFonts w:eastAsiaTheme="minorHAnsi" w:cs="Arial"/>
          <w:i/>
          <w:color w:val="000000"/>
          <w:sz w:val="23"/>
          <w:szCs w:val="23"/>
          <w:lang w:eastAsia="en-US"/>
        </w:rPr>
      </w:pPr>
      <w:r w:rsidRPr="00C24383">
        <w:rPr>
          <w:rFonts w:eastAsiaTheme="minorHAnsi" w:cs="Arial"/>
          <w:i/>
          <w:color w:val="000000"/>
          <w:sz w:val="23"/>
          <w:szCs w:val="23"/>
          <w:lang w:eastAsia="en-US"/>
        </w:rPr>
        <w:t xml:space="preserve">11.20 In deciding which of these powers to invoke, it is expected that licensing authorities should so far as possible seek to establish the cause or causes of the concerns that the representations identify. The remedial action taken should generally be directed at these causes and should always be no more than an appropriate and proportionate response to address the causes of concern that instigated the review. </w:t>
      </w:r>
    </w:p>
    <w:p w:rsidR="005426C4" w:rsidRPr="005426C4" w:rsidRDefault="00C07F54" w:rsidP="005426C4">
      <w:pPr>
        <w:autoSpaceDE w:val="0"/>
        <w:autoSpaceDN w:val="0"/>
        <w:adjustRightInd w:val="0"/>
        <w:rPr>
          <w:rFonts w:eastAsiaTheme="minorHAnsi" w:cs="Arial"/>
          <w:color w:val="000000"/>
          <w:sz w:val="23"/>
          <w:szCs w:val="23"/>
          <w:lang w:eastAsia="en-US"/>
        </w:rPr>
      </w:pPr>
      <w:r>
        <w:rPr>
          <w:rFonts w:eastAsiaTheme="minorHAnsi" w:cs="Arial"/>
          <w:color w:val="000000"/>
          <w:sz w:val="23"/>
          <w:szCs w:val="23"/>
          <w:lang w:eastAsia="en-US"/>
        </w:rPr>
        <w:t>The Panel</w:t>
      </w:r>
      <w:r w:rsidR="00C24383">
        <w:rPr>
          <w:rFonts w:eastAsiaTheme="minorHAnsi" w:cs="Arial"/>
          <w:color w:val="000000"/>
          <w:sz w:val="23"/>
          <w:szCs w:val="23"/>
          <w:lang w:eastAsia="en-US"/>
        </w:rPr>
        <w:t xml:space="preserve"> are asked to consider the list of conditions proposed and deal with this ap</w:t>
      </w:r>
      <w:r w:rsidR="00682E9A">
        <w:rPr>
          <w:rFonts w:eastAsiaTheme="minorHAnsi" w:cs="Arial"/>
          <w:color w:val="000000"/>
          <w:sz w:val="23"/>
          <w:szCs w:val="23"/>
          <w:lang w:eastAsia="en-US"/>
        </w:rPr>
        <w:t>plication by taking account of:</w:t>
      </w:r>
    </w:p>
    <w:p w:rsidR="00C80D32" w:rsidRPr="002A671F" w:rsidRDefault="00C80D32" w:rsidP="00C80D32">
      <w:pPr>
        <w:jc w:val="both"/>
        <w:rPr>
          <w:rFonts w:cs="Arial"/>
          <w:szCs w:val="22"/>
        </w:rPr>
      </w:pPr>
    </w:p>
    <w:p w:rsidR="00C80D32" w:rsidRPr="002A671F" w:rsidRDefault="00C80D32" w:rsidP="00C80D32">
      <w:pPr>
        <w:numPr>
          <w:ilvl w:val="0"/>
          <w:numId w:val="4"/>
        </w:numPr>
        <w:contextualSpacing/>
        <w:jc w:val="both"/>
        <w:rPr>
          <w:rFonts w:cs="Arial"/>
          <w:szCs w:val="22"/>
        </w:rPr>
      </w:pPr>
      <w:r w:rsidRPr="002A671F">
        <w:rPr>
          <w:rFonts w:cs="Arial"/>
          <w:szCs w:val="22"/>
        </w:rPr>
        <w:t>Its own policy; and</w:t>
      </w:r>
    </w:p>
    <w:p w:rsidR="00C80D32" w:rsidRPr="002A671F" w:rsidRDefault="004F7BE3" w:rsidP="00C80D32">
      <w:pPr>
        <w:numPr>
          <w:ilvl w:val="0"/>
          <w:numId w:val="4"/>
        </w:numPr>
        <w:contextualSpacing/>
        <w:jc w:val="both"/>
        <w:rPr>
          <w:rFonts w:cs="Arial"/>
          <w:szCs w:val="22"/>
        </w:rPr>
      </w:pPr>
      <w:r>
        <w:rPr>
          <w:rFonts w:cs="Arial"/>
          <w:szCs w:val="22"/>
        </w:rPr>
        <w:t>Secretary of State G</w:t>
      </w:r>
      <w:r w:rsidR="00C80D32" w:rsidRPr="002A671F">
        <w:rPr>
          <w:rFonts w:cs="Arial"/>
          <w:szCs w:val="22"/>
        </w:rPr>
        <w:t>uidance (section 182 of the Licensing Act 2003).</w:t>
      </w:r>
    </w:p>
    <w:p w:rsidR="00C80D32" w:rsidRDefault="00C80D32" w:rsidP="00C80D32">
      <w:pPr>
        <w:rPr>
          <w:rFonts w:cs="Arial"/>
          <w:b/>
          <w:szCs w:val="22"/>
        </w:rPr>
      </w:pPr>
    </w:p>
    <w:p w:rsidR="00C80D32" w:rsidRPr="00F4022F" w:rsidRDefault="00C80D32" w:rsidP="00C80D32">
      <w:pPr>
        <w:rPr>
          <w:rFonts w:cs="Arial"/>
          <w:b/>
          <w:szCs w:val="22"/>
        </w:rPr>
      </w:pPr>
      <w:r>
        <w:rPr>
          <w:rFonts w:cs="Arial"/>
          <w:b/>
          <w:szCs w:val="22"/>
        </w:rPr>
        <w:t>8.</w:t>
      </w:r>
      <w:r w:rsidRPr="00F4022F">
        <w:rPr>
          <w:rFonts w:cs="Arial"/>
          <w:b/>
          <w:szCs w:val="22"/>
        </w:rPr>
        <w:t xml:space="preserve">    </w:t>
      </w:r>
      <w:r w:rsidRPr="00F4022F">
        <w:rPr>
          <w:rFonts w:cs="Arial"/>
          <w:b/>
          <w:caps/>
          <w:szCs w:val="22"/>
        </w:rPr>
        <w:t>Financial implications</w:t>
      </w:r>
    </w:p>
    <w:p w:rsidR="00C80D32" w:rsidRPr="00F4022F" w:rsidRDefault="00C80D32" w:rsidP="00C80D32">
      <w:pPr>
        <w:ind w:left="567"/>
        <w:rPr>
          <w:rFonts w:cs="Arial"/>
          <w:b/>
          <w:caps/>
          <w:szCs w:val="22"/>
        </w:rPr>
      </w:pPr>
    </w:p>
    <w:p w:rsidR="00C80D32" w:rsidRDefault="00C80D32" w:rsidP="00C80D32">
      <w:pPr>
        <w:rPr>
          <w:rFonts w:cs="Arial"/>
          <w:b/>
          <w:szCs w:val="22"/>
        </w:rPr>
      </w:pPr>
      <w:r>
        <w:rPr>
          <w:rFonts w:cs="Arial"/>
        </w:rPr>
        <w:t>8.</w:t>
      </w:r>
      <w:r w:rsidRPr="00604A18">
        <w:rPr>
          <w:rFonts w:cs="Arial"/>
        </w:rPr>
        <w:t>1 T</w:t>
      </w:r>
      <w:r w:rsidRPr="00837748">
        <w:rPr>
          <w:rFonts w:cs="Arial"/>
          <w:szCs w:val="22"/>
        </w:rPr>
        <w:t xml:space="preserve">here </w:t>
      </w:r>
      <w:r w:rsidRPr="002E3A51">
        <w:rPr>
          <w:rFonts w:cs="Arial"/>
          <w:szCs w:val="22"/>
        </w:rPr>
        <w:t xml:space="preserve">are no direct </w:t>
      </w:r>
      <w:r>
        <w:rPr>
          <w:rFonts w:cs="Arial"/>
          <w:szCs w:val="22"/>
        </w:rPr>
        <w:t>financial imp</w:t>
      </w:r>
      <w:r w:rsidRPr="002E3A51">
        <w:rPr>
          <w:rFonts w:cs="Arial"/>
          <w:szCs w:val="22"/>
        </w:rPr>
        <w:t>lications arising from this report</w:t>
      </w:r>
      <w:r>
        <w:rPr>
          <w:rFonts w:cs="Arial"/>
          <w:szCs w:val="22"/>
        </w:rPr>
        <w:t>.</w:t>
      </w:r>
      <w:r w:rsidRPr="002E3A51">
        <w:rPr>
          <w:rFonts w:cs="Arial"/>
          <w:color w:val="FF0000"/>
        </w:rPr>
        <w:t xml:space="preserve"> </w:t>
      </w:r>
      <w:r>
        <w:rPr>
          <w:rFonts w:cs="Arial"/>
          <w:color w:val="FF0000"/>
        </w:rPr>
        <w:t xml:space="preserve"> </w:t>
      </w:r>
    </w:p>
    <w:p w:rsidR="00C80D32" w:rsidRPr="00F4022F" w:rsidRDefault="00C80D32" w:rsidP="00C80D32">
      <w:pPr>
        <w:rPr>
          <w:rFonts w:cs="Arial"/>
          <w:b/>
          <w:szCs w:val="22"/>
        </w:rPr>
      </w:pPr>
    </w:p>
    <w:p w:rsidR="00C80D32" w:rsidRPr="00F4022F" w:rsidRDefault="00C80D32" w:rsidP="00C80D32">
      <w:pPr>
        <w:rPr>
          <w:rFonts w:cs="Arial"/>
          <w:caps/>
          <w:szCs w:val="22"/>
        </w:rPr>
      </w:pPr>
      <w:r>
        <w:rPr>
          <w:rFonts w:cs="Arial"/>
          <w:b/>
          <w:caps/>
          <w:szCs w:val="22"/>
        </w:rPr>
        <w:t>9</w:t>
      </w:r>
      <w:r w:rsidRPr="00F4022F">
        <w:rPr>
          <w:rFonts w:cs="Arial"/>
          <w:b/>
          <w:caps/>
          <w:szCs w:val="22"/>
        </w:rPr>
        <w:t>.    LEGAL IMPLICATIONS</w:t>
      </w:r>
    </w:p>
    <w:p w:rsidR="00C80D32" w:rsidRPr="00F4022F" w:rsidRDefault="00C80D32" w:rsidP="00C80D32">
      <w:pPr>
        <w:rPr>
          <w:rFonts w:cs="Arial"/>
          <w:caps/>
          <w:szCs w:val="22"/>
        </w:rPr>
      </w:pPr>
    </w:p>
    <w:p w:rsidR="00C80D32" w:rsidRDefault="00C80D32" w:rsidP="00C80D32">
      <w:proofErr w:type="gramStart"/>
      <w:r>
        <w:rPr>
          <w:rFonts w:cs="Arial"/>
          <w:caps/>
          <w:szCs w:val="22"/>
        </w:rPr>
        <w:t>9</w:t>
      </w:r>
      <w:r w:rsidRPr="00604A18">
        <w:rPr>
          <w:rFonts w:cs="Arial"/>
          <w:caps/>
          <w:szCs w:val="22"/>
        </w:rPr>
        <w:t>.1</w:t>
      </w:r>
      <w:r>
        <w:rPr>
          <w:rFonts w:cs="Arial"/>
          <w:b/>
          <w:caps/>
          <w:szCs w:val="22"/>
        </w:rPr>
        <w:t xml:space="preserve"> </w:t>
      </w:r>
      <w:r w:rsidRPr="0085389C">
        <w:t xml:space="preserve"> </w:t>
      </w:r>
      <w:r>
        <w:t>The</w:t>
      </w:r>
      <w:proofErr w:type="gramEnd"/>
      <w:r>
        <w:t xml:space="preserve"> Licensing Authority are under a statutory duty to facilitate the</w:t>
      </w:r>
      <w:r w:rsidR="00C07F54">
        <w:t xml:space="preserve"> review</w:t>
      </w:r>
      <w:r>
        <w:t xml:space="preserve"> hearing.  </w:t>
      </w:r>
      <w:r w:rsidRPr="008B2259">
        <w:t>When determining this hearing the Council must comply with the rules of natural justice.</w:t>
      </w:r>
    </w:p>
    <w:p w:rsidR="00C80D32" w:rsidRPr="008B2259" w:rsidRDefault="00C80D32" w:rsidP="00C80D32"/>
    <w:p w:rsidR="00C80D32" w:rsidRDefault="00C80D32" w:rsidP="00C80D32">
      <w:r w:rsidRPr="008B2259">
        <w:t>A</w:t>
      </w:r>
      <w:r>
        <w:t xml:space="preserve">ny party at the hearing has a right to </w:t>
      </w:r>
      <w:r w:rsidRPr="008B2259">
        <w:t xml:space="preserve">appeal </w:t>
      </w:r>
      <w:r>
        <w:t xml:space="preserve">the decision </w:t>
      </w:r>
      <w:r w:rsidRPr="008B2259">
        <w:t>to the Magistrates Court.</w:t>
      </w:r>
    </w:p>
    <w:p w:rsidR="00C80D32" w:rsidRPr="00F4022F" w:rsidRDefault="00C80D32" w:rsidP="00C80D32">
      <w:pPr>
        <w:rPr>
          <w:rFonts w:cs="Arial"/>
          <w:b/>
          <w:szCs w:val="22"/>
        </w:rPr>
      </w:pPr>
    </w:p>
    <w:p w:rsidR="00C80D32" w:rsidRPr="00F4022F" w:rsidRDefault="00C80D32" w:rsidP="00C80D32">
      <w:pPr>
        <w:rPr>
          <w:rFonts w:cs="Arial"/>
          <w:b/>
          <w:szCs w:val="22"/>
        </w:rPr>
      </w:pPr>
      <w:r>
        <w:rPr>
          <w:rFonts w:cs="Arial"/>
          <w:b/>
          <w:szCs w:val="22"/>
        </w:rPr>
        <w:t>10</w:t>
      </w:r>
      <w:r w:rsidRPr="00F4022F">
        <w:rPr>
          <w:rFonts w:cs="Arial"/>
          <w:b/>
          <w:szCs w:val="22"/>
        </w:rPr>
        <w:t>.  COMMENTS OF THE STATUTORY FINANCE OFFICER</w:t>
      </w:r>
    </w:p>
    <w:p w:rsidR="00C80D32" w:rsidRPr="00F4022F" w:rsidRDefault="00C80D32" w:rsidP="00C80D32">
      <w:pPr>
        <w:rPr>
          <w:rFonts w:cs="Arial"/>
          <w:b/>
          <w:szCs w:val="22"/>
        </w:rPr>
      </w:pPr>
    </w:p>
    <w:p w:rsidR="008A7A4B" w:rsidRDefault="00C80D32" w:rsidP="008A7A4B">
      <w:pPr>
        <w:rPr>
          <w:rFonts w:cs="Arial"/>
          <w:b/>
          <w:szCs w:val="22"/>
        </w:rPr>
      </w:pPr>
      <w:proofErr w:type="gramStart"/>
      <w:r>
        <w:rPr>
          <w:rFonts w:cs="Arial"/>
          <w:szCs w:val="22"/>
        </w:rPr>
        <w:t>10</w:t>
      </w:r>
      <w:r w:rsidRPr="00F4022F">
        <w:rPr>
          <w:rFonts w:cs="Arial"/>
          <w:szCs w:val="22"/>
        </w:rPr>
        <w:t xml:space="preserve">.1  </w:t>
      </w:r>
      <w:r w:rsidR="008A7A4B" w:rsidRPr="00604A18">
        <w:rPr>
          <w:rFonts w:cs="Arial"/>
        </w:rPr>
        <w:t>T</w:t>
      </w:r>
      <w:r w:rsidR="008A7A4B" w:rsidRPr="00837748">
        <w:rPr>
          <w:rFonts w:cs="Arial"/>
          <w:szCs w:val="22"/>
        </w:rPr>
        <w:t>here</w:t>
      </w:r>
      <w:proofErr w:type="gramEnd"/>
      <w:r w:rsidR="008A7A4B" w:rsidRPr="00837748">
        <w:rPr>
          <w:rFonts w:cs="Arial"/>
          <w:szCs w:val="22"/>
        </w:rPr>
        <w:t xml:space="preserve"> </w:t>
      </w:r>
      <w:r w:rsidR="008A7A4B" w:rsidRPr="002E3A51">
        <w:rPr>
          <w:rFonts w:cs="Arial"/>
          <w:szCs w:val="22"/>
        </w:rPr>
        <w:t xml:space="preserve">are no direct </w:t>
      </w:r>
      <w:r w:rsidR="008A7A4B">
        <w:rPr>
          <w:rFonts w:cs="Arial"/>
          <w:szCs w:val="22"/>
        </w:rPr>
        <w:t>financial imp</w:t>
      </w:r>
      <w:r w:rsidR="008A7A4B" w:rsidRPr="002E3A51">
        <w:rPr>
          <w:rFonts w:cs="Arial"/>
          <w:szCs w:val="22"/>
        </w:rPr>
        <w:t>lications arising from this report</w:t>
      </w:r>
      <w:r w:rsidR="008A7A4B">
        <w:rPr>
          <w:rFonts w:cs="Arial"/>
          <w:szCs w:val="22"/>
        </w:rPr>
        <w:t>.</w:t>
      </w:r>
      <w:r w:rsidR="008A7A4B" w:rsidRPr="002E3A51">
        <w:rPr>
          <w:rFonts w:cs="Arial"/>
          <w:color w:val="FF0000"/>
        </w:rPr>
        <w:t xml:space="preserve"> </w:t>
      </w:r>
      <w:r w:rsidR="008A7A4B">
        <w:rPr>
          <w:rFonts w:cs="Arial"/>
          <w:color w:val="FF0000"/>
        </w:rPr>
        <w:t xml:space="preserve"> </w:t>
      </w:r>
    </w:p>
    <w:p w:rsidR="00C07F54" w:rsidRPr="00F4022F" w:rsidRDefault="00C07F54" w:rsidP="00C80D32">
      <w:pPr>
        <w:ind w:left="426" w:hanging="426"/>
        <w:rPr>
          <w:rFonts w:cs="Arial"/>
          <w:b/>
          <w:i/>
          <w:szCs w:val="22"/>
        </w:rPr>
      </w:pPr>
    </w:p>
    <w:p w:rsidR="00C80D32" w:rsidRPr="00F4022F" w:rsidRDefault="00C07F54" w:rsidP="00C80D32">
      <w:pPr>
        <w:rPr>
          <w:rFonts w:cs="Arial"/>
          <w:b/>
          <w:szCs w:val="22"/>
        </w:rPr>
      </w:pPr>
      <w:r>
        <w:rPr>
          <w:rFonts w:cs="Arial"/>
          <w:b/>
          <w:szCs w:val="22"/>
        </w:rPr>
        <w:t>11.</w:t>
      </w:r>
      <w:r w:rsidR="00C80D32" w:rsidRPr="00F4022F">
        <w:rPr>
          <w:rFonts w:cs="Arial"/>
          <w:b/>
          <w:szCs w:val="22"/>
        </w:rPr>
        <w:t xml:space="preserve">  COMMENTS OF THE MONITORING OFFICER</w:t>
      </w:r>
    </w:p>
    <w:p w:rsidR="00682E9A" w:rsidRDefault="00682E9A" w:rsidP="00C80D32">
      <w:pPr>
        <w:rPr>
          <w:rFonts w:cs="Arial"/>
          <w:szCs w:val="22"/>
        </w:rPr>
      </w:pPr>
    </w:p>
    <w:p w:rsidR="00C80D32" w:rsidRDefault="00C80D32" w:rsidP="00C80D32">
      <w:pPr>
        <w:rPr>
          <w:rFonts w:cs="Arial"/>
          <w:szCs w:val="22"/>
        </w:rPr>
      </w:pPr>
      <w:r w:rsidRPr="00682E9A">
        <w:rPr>
          <w:rFonts w:cs="Arial"/>
          <w:szCs w:val="22"/>
        </w:rPr>
        <w:t>Please refer to the comments at 9.1.</w:t>
      </w:r>
      <w:r w:rsidR="00C07F54" w:rsidRPr="00682E9A">
        <w:rPr>
          <w:rFonts w:cs="Arial"/>
          <w:szCs w:val="22"/>
        </w:rPr>
        <w:t>above</w:t>
      </w:r>
      <w:r w:rsidR="00682E9A">
        <w:rPr>
          <w:rFonts w:cs="Arial"/>
          <w:szCs w:val="22"/>
        </w:rPr>
        <w:t>.</w:t>
      </w:r>
    </w:p>
    <w:p w:rsidR="00682E9A" w:rsidRDefault="00682E9A" w:rsidP="00C80D32">
      <w:pPr>
        <w:rPr>
          <w:rFonts w:cs="Arial"/>
          <w:szCs w:val="22"/>
        </w:rPr>
      </w:pPr>
    </w:p>
    <w:p w:rsidR="00682E9A" w:rsidRDefault="00682E9A" w:rsidP="00C80D32">
      <w:pPr>
        <w:rPr>
          <w:rFonts w:cs="Arial"/>
          <w:szCs w:val="22"/>
        </w:rPr>
      </w:pPr>
    </w:p>
    <w:p w:rsidR="00682E9A" w:rsidRDefault="00682E9A" w:rsidP="00C80D32">
      <w:pPr>
        <w:rPr>
          <w:rFonts w:cs="Arial"/>
          <w:szCs w:val="22"/>
        </w:rPr>
      </w:pPr>
    </w:p>
    <w:p w:rsidR="00682E9A" w:rsidRPr="00682E9A" w:rsidRDefault="00682E9A" w:rsidP="00C80D32">
      <w:pPr>
        <w:rPr>
          <w:rFonts w:cs="Arial"/>
          <w:szCs w:val="22"/>
        </w:rPr>
      </w:pPr>
    </w:p>
    <w:p w:rsidR="00C80D32" w:rsidRPr="00F4022F" w:rsidRDefault="00C80D32" w:rsidP="00C80D32">
      <w:pPr>
        <w:ind w:left="567" w:hanging="567"/>
        <w:rPr>
          <w:rFonts w:cs="Arial"/>
          <w:b/>
          <w:strike/>
          <w:szCs w:val="22"/>
        </w:rPr>
      </w:pPr>
    </w:p>
    <w:p w:rsidR="00C80D32" w:rsidRPr="00F4022F" w:rsidRDefault="00C80D32" w:rsidP="00C80D32">
      <w:pPr>
        <w:rPr>
          <w:rFonts w:cs="Arial"/>
          <w:b/>
          <w:szCs w:val="22"/>
        </w:rPr>
      </w:pPr>
      <w:r w:rsidRPr="00F4022F">
        <w:rPr>
          <w:rFonts w:cs="Arial"/>
          <w:b/>
          <w:szCs w:val="22"/>
        </w:rPr>
        <w:t>1</w:t>
      </w:r>
      <w:r w:rsidR="00C07F54">
        <w:rPr>
          <w:rFonts w:cs="Arial"/>
          <w:b/>
          <w:szCs w:val="22"/>
        </w:rPr>
        <w:t>2</w:t>
      </w:r>
      <w:r w:rsidRPr="00F4022F">
        <w:rPr>
          <w:rFonts w:cs="Arial"/>
          <w:b/>
          <w:szCs w:val="22"/>
        </w:rPr>
        <w:t xml:space="preserve">.  OTHER IMPLICATIONS: </w:t>
      </w:r>
    </w:p>
    <w:p w:rsidR="00C80D32" w:rsidRPr="00F4022F" w:rsidRDefault="00C80D32" w:rsidP="00C80D32">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80D32" w:rsidRPr="00F4022F" w:rsidTr="00EA2EBE">
        <w:trPr>
          <w:trHeight w:val="334"/>
        </w:trPr>
        <w:tc>
          <w:tcPr>
            <w:tcW w:w="3544" w:type="dxa"/>
            <w:shd w:val="clear" w:color="auto" w:fill="auto"/>
          </w:tcPr>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 xml:space="preserve">HR &amp; Organisational Development </w:t>
            </w:r>
          </w:p>
          <w:p w:rsidR="00C80D32" w:rsidRPr="00F4022F" w:rsidRDefault="00C80D32" w:rsidP="00EA2EBE">
            <w:pPr>
              <w:ind w:left="360"/>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lastRenderedPageBreak/>
              <w:t>ICT / Technology</w:t>
            </w:r>
          </w:p>
          <w:p w:rsidR="00C80D32" w:rsidRPr="00F4022F" w:rsidRDefault="00C80D32" w:rsidP="00EA2EBE">
            <w:pPr>
              <w:ind w:left="360"/>
              <w:rPr>
                <w:rFonts w:cs="Arial"/>
                <w:b/>
                <w:szCs w:val="22"/>
              </w:rPr>
            </w:pPr>
          </w:p>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Property &amp; Asset Management</w:t>
            </w:r>
          </w:p>
          <w:p w:rsidR="00C80D32" w:rsidRPr="00F4022F" w:rsidRDefault="00C80D32" w:rsidP="00EA2EBE">
            <w:pPr>
              <w:ind w:left="360"/>
              <w:rPr>
                <w:rFonts w:cs="Arial"/>
                <w:b/>
                <w:szCs w:val="22"/>
              </w:rPr>
            </w:pPr>
          </w:p>
          <w:p w:rsidR="00C80D32" w:rsidRDefault="00C80D32" w:rsidP="00EA2EBE">
            <w:pPr>
              <w:ind w:left="360"/>
              <w:rPr>
                <w:rFonts w:cs="Arial"/>
                <w:b/>
                <w:szCs w:val="22"/>
              </w:rPr>
            </w:pPr>
          </w:p>
          <w:p w:rsidR="00C80D32" w:rsidRDefault="00C80D32" w:rsidP="00EA2EBE">
            <w:pPr>
              <w:pStyle w:val="ListParagraph"/>
              <w:rPr>
                <w:rFonts w:cs="Arial"/>
                <w:b/>
              </w:rPr>
            </w:pPr>
          </w:p>
          <w:p w:rsidR="00C80D32" w:rsidRPr="00F4022F" w:rsidRDefault="00C80D32" w:rsidP="00C80D32">
            <w:pPr>
              <w:numPr>
                <w:ilvl w:val="0"/>
                <w:numId w:val="2"/>
              </w:numPr>
              <w:ind w:left="360"/>
              <w:rPr>
                <w:rFonts w:cs="Arial"/>
                <w:b/>
                <w:szCs w:val="22"/>
              </w:rPr>
            </w:pPr>
            <w:r w:rsidRPr="00F4022F">
              <w:rPr>
                <w:rFonts w:cs="Arial"/>
                <w:b/>
                <w:szCs w:val="22"/>
              </w:rPr>
              <w:t xml:space="preserve">Risk </w:t>
            </w:r>
          </w:p>
          <w:p w:rsidR="00C80D32" w:rsidRPr="00F4022F" w:rsidRDefault="00C80D32" w:rsidP="00EA2EBE">
            <w:pPr>
              <w:pStyle w:val="ListParagraph"/>
              <w:spacing w:line="240" w:lineRule="auto"/>
              <w:rPr>
                <w:rFonts w:ascii="Arial" w:hAnsi="Arial" w:cs="Arial"/>
                <w:b/>
              </w:rPr>
            </w:pPr>
          </w:p>
          <w:p w:rsidR="00C80D32" w:rsidRPr="00F4022F" w:rsidRDefault="00C80D32" w:rsidP="00EA2EBE">
            <w:pPr>
              <w:ind w:left="360"/>
              <w:rPr>
                <w:rFonts w:cs="Arial"/>
                <w:b/>
                <w:szCs w:val="22"/>
              </w:rPr>
            </w:pPr>
          </w:p>
          <w:p w:rsidR="00C80D32" w:rsidRDefault="00C80D32" w:rsidP="00EA2EBE">
            <w:pPr>
              <w:rPr>
                <w:rFonts w:cs="Arial"/>
                <w:b/>
                <w:szCs w:val="22"/>
              </w:rPr>
            </w:pPr>
          </w:p>
          <w:p w:rsidR="00C80D32" w:rsidRPr="00F4022F" w:rsidRDefault="00C80D32" w:rsidP="00EA2EBE">
            <w:pPr>
              <w:rPr>
                <w:rFonts w:cs="Arial"/>
                <w:b/>
                <w:szCs w:val="22"/>
              </w:rPr>
            </w:pPr>
          </w:p>
          <w:p w:rsidR="00C80D32" w:rsidRPr="00F4022F" w:rsidRDefault="00C80D32" w:rsidP="00C80D32">
            <w:pPr>
              <w:numPr>
                <w:ilvl w:val="0"/>
                <w:numId w:val="2"/>
              </w:numPr>
              <w:ind w:left="360"/>
              <w:rPr>
                <w:rFonts w:cs="Arial"/>
                <w:b/>
                <w:szCs w:val="22"/>
              </w:rPr>
            </w:pPr>
            <w:r w:rsidRPr="00F4022F">
              <w:rPr>
                <w:rFonts w:cs="Arial"/>
                <w:b/>
                <w:szCs w:val="22"/>
              </w:rPr>
              <w:t xml:space="preserve">Equality &amp; Diversity </w:t>
            </w:r>
          </w:p>
          <w:p w:rsidR="00C80D32" w:rsidRPr="00F4022F" w:rsidRDefault="00C80D32" w:rsidP="00EA2EBE">
            <w:pPr>
              <w:rPr>
                <w:rFonts w:cs="Arial"/>
                <w:b/>
                <w:szCs w:val="22"/>
              </w:rPr>
            </w:pPr>
          </w:p>
          <w:p w:rsidR="00C80D32" w:rsidRPr="00F4022F" w:rsidRDefault="00C80D32" w:rsidP="00EA2EBE">
            <w:pPr>
              <w:rPr>
                <w:rFonts w:cs="Arial"/>
                <w:szCs w:val="22"/>
              </w:rPr>
            </w:pPr>
          </w:p>
        </w:tc>
        <w:tc>
          <w:tcPr>
            <w:tcW w:w="6379" w:type="dxa"/>
            <w:shd w:val="clear" w:color="auto" w:fill="auto"/>
          </w:tcPr>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r w:rsidRPr="00F4022F">
              <w:rPr>
                <w:rFonts w:cs="Arial"/>
                <w:szCs w:val="22"/>
              </w:rPr>
              <w:lastRenderedPageBreak/>
              <w:t>None</w:t>
            </w:r>
          </w:p>
          <w:p w:rsidR="00C80D32" w:rsidRPr="00F4022F" w:rsidRDefault="00C80D32" w:rsidP="00EA2EBE">
            <w:pPr>
              <w:rPr>
                <w:rFonts w:cs="Arial"/>
                <w:szCs w:val="22"/>
              </w:rPr>
            </w:pPr>
          </w:p>
          <w:p w:rsidR="00C80D32" w:rsidRPr="00F4022F" w:rsidRDefault="00C80D32" w:rsidP="00EA2EBE">
            <w:pPr>
              <w:rPr>
                <w:rFonts w:cs="Arial"/>
                <w:szCs w:val="22"/>
              </w:rPr>
            </w:pPr>
          </w:p>
          <w:p w:rsidR="00C80D32" w:rsidRDefault="00C80D32" w:rsidP="00EA2EBE">
            <w:pPr>
              <w:rPr>
                <w:rFonts w:cs="Arial"/>
                <w:szCs w:val="22"/>
              </w:rPr>
            </w:pPr>
            <w:r w:rsidRPr="00F4022F">
              <w:rPr>
                <w:rFonts w:cs="Arial"/>
                <w:szCs w:val="22"/>
              </w:rPr>
              <w:t>None</w:t>
            </w:r>
          </w:p>
          <w:p w:rsidR="00C80D32"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p>
          <w:p w:rsidR="00C80D32" w:rsidRPr="00F4022F" w:rsidRDefault="00C80D32" w:rsidP="00EA2EBE">
            <w:pPr>
              <w:rPr>
                <w:rFonts w:cs="Arial"/>
                <w:szCs w:val="22"/>
              </w:rPr>
            </w:pPr>
          </w:p>
          <w:p w:rsidR="00C80D32" w:rsidRDefault="00C80D32" w:rsidP="00EA2EBE">
            <w:pPr>
              <w:rPr>
                <w:rFonts w:cs="Arial"/>
                <w:szCs w:val="22"/>
              </w:rPr>
            </w:pPr>
            <w:r>
              <w:rPr>
                <w:rFonts w:cs="Arial"/>
                <w:szCs w:val="22"/>
              </w:rPr>
              <w:t>Please refer to the legal risks identified above.</w:t>
            </w:r>
          </w:p>
          <w:p w:rsidR="00C80D32" w:rsidRDefault="00C80D32" w:rsidP="00EA2EBE">
            <w:pPr>
              <w:rPr>
                <w:rFonts w:cs="Arial"/>
                <w:szCs w:val="22"/>
              </w:rPr>
            </w:pPr>
          </w:p>
          <w:p w:rsidR="00682E9A" w:rsidRDefault="00682E9A" w:rsidP="00EA2EBE">
            <w:pPr>
              <w:rPr>
                <w:rFonts w:cs="Arial"/>
                <w:szCs w:val="22"/>
              </w:rPr>
            </w:pPr>
          </w:p>
          <w:p w:rsidR="00682E9A" w:rsidRDefault="00682E9A" w:rsidP="00EA2EBE">
            <w:pPr>
              <w:rPr>
                <w:rFonts w:cs="Arial"/>
                <w:szCs w:val="22"/>
              </w:rPr>
            </w:pPr>
          </w:p>
          <w:p w:rsidR="00682E9A" w:rsidRDefault="00682E9A" w:rsidP="00EA2EBE">
            <w:pPr>
              <w:rPr>
                <w:rFonts w:cs="Arial"/>
                <w:szCs w:val="22"/>
              </w:rPr>
            </w:pPr>
          </w:p>
          <w:p w:rsidR="00682E9A" w:rsidRPr="00F4022F" w:rsidRDefault="00682E9A" w:rsidP="00EA2EBE">
            <w:pPr>
              <w:rPr>
                <w:rFonts w:cs="Arial"/>
                <w:szCs w:val="22"/>
              </w:rPr>
            </w:pPr>
          </w:p>
          <w:p w:rsidR="00C80D32" w:rsidRPr="00F4022F" w:rsidRDefault="00C80D32" w:rsidP="00EA2EBE">
            <w:pPr>
              <w:rPr>
                <w:rFonts w:cs="Arial"/>
                <w:i/>
                <w:color w:val="2E74B5" w:themeColor="accent1" w:themeShade="BF"/>
                <w:szCs w:val="22"/>
              </w:rPr>
            </w:pPr>
            <w:r w:rsidRPr="00F4022F">
              <w:rPr>
                <w:rFonts w:cs="Arial"/>
                <w:szCs w:val="22"/>
              </w:rPr>
              <w:t>None</w:t>
            </w:r>
          </w:p>
        </w:tc>
      </w:tr>
    </w:tbl>
    <w:p w:rsidR="00C80D32" w:rsidRDefault="00C80D32" w:rsidP="00C80D32">
      <w:pPr>
        <w:rPr>
          <w:b/>
          <w:szCs w:val="22"/>
        </w:rPr>
      </w:pPr>
    </w:p>
    <w:p w:rsidR="00C80D32" w:rsidRDefault="00C80D32" w:rsidP="00C80D32">
      <w:pPr>
        <w:rPr>
          <w:i/>
          <w:color w:val="0070C0"/>
          <w:szCs w:val="22"/>
        </w:rPr>
      </w:pPr>
    </w:p>
    <w:p w:rsidR="00C80D32" w:rsidRDefault="00C80D32" w:rsidP="00C80D32">
      <w:pPr>
        <w:rPr>
          <w:b/>
        </w:rPr>
      </w:pPr>
      <w:r w:rsidRPr="00792A2B">
        <w:rPr>
          <w:b/>
        </w:rPr>
        <w:t>1</w:t>
      </w:r>
      <w:r w:rsidR="00C07F54">
        <w:rPr>
          <w:b/>
        </w:rPr>
        <w:t>3</w:t>
      </w:r>
      <w:r w:rsidRPr="00792A2B">
        <w:rPr>
          <w:b/>
        </w:rPr>
        <w:t xml:space="preserve">. APPENDICES </w:t>
      </w:r>
    </w:p>
    <w:p w:rsidR="00C80D32" w:rsidRDefault="00C80D32" w:rsidP="00C80D32">
      <w:pPr>
        <w:rPr>
          <w:b/>
        </w:rPr>
      </w:pPr>
    </w:p>
    <w:p w:rsidR="00C80D32" w:rsidRDefault="00C80D32" w:rsidP="00C80D32">
      <w:pPr>
        <w:rPr>
          <w:szCs w:val="22"/>
        </w:rPr>
      </w:pPr>
      <w:r>
        <w:rPr>
          <w:szCs w:val="22"/>
        </w:rPr>
        <w:t>Appendix A-</w:t>
      </w:r>
      <w:r w:rsidR="0058347C">
        <w:rPr>
          <w:szCs w:val="22"/>
        </w:rPr>
        <w:t xml:space="preserve"> </w:t>
      </w:r>
      <w:r w:rsidR="00423C92">
        <w:rPr>
          <w:szCs w:val="22"/>
        </w:rPr>
        <w:t>List of Proposed condi</w:t>
      </w:r>
      <w:r w:rsidR="00F75BF5">
        <w:rPr>
          <w:szCs w:val="22"/>
        </w:rPr>
        <w:t>tions including covering letter 31/07/2018</w:t>
      </w:r>
    </w:p>
    <w:p w:rsidR="00C80D32" w:rsidRDefault="00C80D32" w:rsidP="00C80D32">
      <w:pPr>
        <w:rPr>
          <w:szCs w:val="22"/>
        </w:rPr>
      </w:pPr>
    </w:p>
    <w:p w:rsidR="00C80D32" w:rsidRDefault="00D415E1" w:rsidP="00C80D32">
      <w:pPr>
        <w:rPr>
          <w:szCs w:val="22"/>
        </w:rPr>
      </w:pPr>
      <w:r>
        <w:rPr>
          <w:szCs w:val="22"/>
        </w:rPr>
        <w:t>Appendix B –</w:t>
      </w:r>
      <w:r w:rsidR="00423C92">
        <w:rPr>
          <w:szCs w:val="22"/>
        </w:rPr>
        <w:t>Review Application and associated documents.</w:t>
      </w:r>
    </w:p>
    <w:p w:rsidR="00891102" w:rsidRDefault="00891102" w:rsidP="00C80D32">
      <w:pPr>
        <w:rPr>
          <w:szCs w:val="22"/>
        </w:rPr>
      </w:pPr>
    </w:p>
    <w:p w:rsidR="00891102" w:rsidRDefault="00891102" w:rsidP="00C80D32">
      <w:pPr>
        <w:rPr>
          <w:szCs w:val="22"/>
        </w:rPr>
      </w:pPr>
      <w:r>
        <w:rPr>
          <w:szCs w:val="22"/>
        </w:rPr>
        <w:t>Appendix C- Current Premises Licence.</w:t>
      </w:r>
    </w:p>
    <w:p w:rsidR="00C80D32" w:rsidRDefault="00C80D32" w:rsidP="00C80D32">
      <w:pPr>
        <w:rPr>
          <w:szCs w:val="22"/>
        </w:rPr>
      </w:pPr>
    </w:p>
    <w:p w:rsidR="00C80D32" w:rsidRPr="007F1945" w:rsidRDefault="00C80D32" w:rsidP="00C80D32">
      <w:pPr>
        <w:tabs>
          <w:tab w:val="left" w:pos="2839"/>
        </w:tabs>
        <w:ind w:left="426" w:hanging="426"/>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555"/>
        <w:gridCol w:w="2351"/>
      </w:tblGrid>
      <w:tr w:rsidR="00C80D32" w:rsidTr="00682E9A">
        <w:tc>
          <w:tcPr>
            <w:tcW w:w="5727" w:type="dxa"/>
            <w:shd w:val="clear" w:color="auto" w:fill="auto"/>
          </w:tcPr>
          <w:p w:rsidR="00C80D32" w:rsidRPr="0031059E" w:rsidRDefault="00C80D32" w:rsidP="00EA2EBE">
            <w:pPr>
              <w:rPr>
                <w:rFonts w:cs="Arial"/>
              </w:rPr>
            </w:pPr>
            <w:r w:rsidRPr="0031059E">
              <w:rPr>
                <w:rFonts w:cs="Arial"/>
              </w:rPr>
              <w:t>Report Author:</w:t>
            </w:r>
          </w:p>
        </w:tc>
        <w:tc>
          <w:tcPr>
            <w:tcW w:w="1555" w:type="dxa"/>
            <w:shd w:val="clear" w:color="auto" w:fill="auto"/>
          </w:tcPr>
          <w:p w:rsidR="00C80D32" w:rsidRPr="0031059E" w:rsidRDefault="00C80D32" w:rsidP="00EA2EBE">
            <w:pPr>
              <w:rPr>
                <w:rFonts w:cs="Arial"/>
              </w:rPr>
            </w:pPr>
            <w:r w:rsidRPr="0031059E">
              <w:rPr>
                <w:rFonts w:cs="Arial"/>
              </w:rPr>
              <w:t>Telephone:</w:t>
            </w:r>
          </w:p>
        </w:tc>
        <w:tc>
          <w:tcPr>
            <w:tcW w:w="2351" w:type="dxa"/>
            <w:shd w:val="clear" w:color="auto" w:fill="auto"/>
          </w:tcPr>
          <w:p w:rsidR="00C80D32" w:rsidRPr="0031059E" w:rsidRDefault="00C80D32" w:rsidP="00EA2EBE">
            <w:pPr>
              <w:rPr>
                <w:rFonts w:cs="Arial"/>
              </w:rPr>
            </w:pPr>
            <w:r w:rsidRPr="0031059E">
              <w:rPr>
                <w:rFonts w:cs="Arial"/>
              </w:rPr>
              <w:t>Date:</w:t>
            </w:r>
          </w:p>
        </w:tc>
      </w:tr>
      <w:tr w:rsidR="00C80D32" w:rsidTr="00682E9A">
        <w:tc>
          <w:tcPr>
            <w:tcW w:w="5727" w:type="dxa"/>
            <w:shd w:val="clear" w:color="auto" w:fill="auto"/>
          </w:tcPr>
          <w:p w:rsidR="00C80D32" w:rsidRDefault="00C80D32" w:rsidP="00EA2EBE">
            <w:pPr>
              <w:rPr>
                <w:rFonts w:cs="Arial"/>
                <w:i/>
                <w:color w:val="2E74B5" w:themeColor="accent1" w:themeShade="BF"/>
              </w:rPr>
            </w:pPr>
          </w:p>
          <w:p w:rsidR="00C80D32" w:rsidRPr="00DD2D13" w:rsidRDefault="00423C92" w:rsidP="00EA2EBE">
            <w:pPr>
              <w:rPr>
                <w:rFonts w:cs="Arial"/>
              </w:rPr>
            </w:pPr>
            <w:r>
              <w:rPr>
                <w:rFonts w:cs="Arial"/>
              </w:rPr>
              <w:t>Chris Ward</w:t>
            </w:r>
          </w:p>
          <w:p w:rsidR="00C80D32" w:rsidRPr="0031059E" w:rsidRDefault="00C80D32" w:rsidP="00EA2EBE">
            <w:pPr>
              <w:ind w:left="-539" w:firstLine="539"/>
              <w:rPr>
                <w:rFonts w:cs="Arial"/>
              </w:rPr>
            </w:pPr>
          </w:p>
        </w:tc>
        <w:tc>
          <w:tcPr>
            <w:tcW w:w="1555" w:type="dxa"/>
            <w:shd w:val="clear" w:color="auto" w:fill="auto"/>
          </w:tcPr>
          <w:p w:rsidR="00C80D32" w:rsidRDefault="00C80D32" w:rsidP="00EA2EBE">
            <w:pPr>
              <w:rPr>
                <w:rFonts w:cs="Arial"/>
              </w:rPr>
            </w:pPr>
          </w:p>
          <w:p w:rsidR="00C80D32" w:rsidRDefault="00C80D32" w:rsidP="00EA2EBE">
            <w:pPr>
              <w:rPr>
                <w:rFonts w:cs="Arial"/>
              </w:rPr>
            </w:pPr>
            <w:r>
              <w:rPr>
                <w:rFonts w:cs="Arial"/>
              </w:rPr>
              <w:t>01772 625401</w:t>
            </w:r>
          </w:p>
          <w:p w:rsidR="00C80D32" w:rsidRPr="0031059E" w:rsidRDefault="00C80D32" w:rsidP="00EA2EBE">
            <w:pPr>
              <w:rPr>
                <w:rFonts w:cs="Arial"/>
              </w:rPr>
            </w:pPr>
          </w:p>
        </w:tc>
        <w:tc>
          <w:tcPr>
            <w:tcW w:w="2351" w:type="dxa"/>
            <w:shd w:val="clear" w:color="auto" w:fill="auto"/>
          </w:tcPr>
          <w:p w:rsidR="00C80D32" w:rsidRDefault="00C80D32" w:rsidP="00EA2EBE">
            <w:pPr>
              <w:rPr>
                <w:rFonts w:cs="Arial"/>
              </w:rPr>
            </w:pPr>
          </w:p>
          <w:p w:rsidR="00C80D32" w:rsidRPr="0031059E" w:rsidRDefault="004F7BE3" w:rsidP="00EA2EBE">
            <w:pPr>
              <w:rPr>
                <w:rFonts w:cs="Arial"/>
              </w:rPr>
            </w:pPr>
            <w:r>
              <w:rPr>
                <w:rFonts w:cs="Arial"/>
              </w:rPr>
              <w:t>1</w:t>
            </w:r>
            <w:r w:rsidRPr="004F7BE3">
              <w:rPr>
                <w:rFonts w:cs="Arial"/>
                <w:vertAlign w:val="superscript"/>
              </w:rPr>
              <w:t>st</w:t>
            </w:r>
            <w:r>
              <w:rPr>
                <w:rFonts w:cs="Arial"/>
              </w:rPr>
              <w:t xml:space="preserve"> August 2018</w:t>
            </w:r>
          </w:p>
        </w:tc>
      </w:tr>
    </w:tbl>
    <w:p w:rsidR="00C80D32" w:rsidRPr="009725FB" w:rsidRDefault="00C80D32" w:rsidP="00C80D32">
      <w:pPr>
        <w:tabs>
          <w:tab w:val="left" w:pos="2839"/>
        </w:tabs>
        <w:rPr>
          <w:rFonts w:cs="Arial"/>
        </w:rPr>
      </w:pPr>
    </w:p>
    <w:p w:rsidR="000406EA" w:rsidRDefault="000406EA"/>
    <w:sectPr w:rsidR="000406EA" w:rsidSect="00C80D32">
      <w:footerReference w:type="default" r:id="rId8"/>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1B" w:rsidRDefault="0067681B">
      <w:r>
        <w:separator/>
      </w:r>
    </w:p>
  </w:endnote>
  <w:endnote w:type="continuationSeparator" w:id="0">
    <w:p w:rsidR="0067681B" w:rsidRDefault="0067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7369F6">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C60611">
      <w:rPr>
        <w:noProof/>
        <w:sz w:val="24"/>
      </w:rPr>
      <w:t>4</w:t>
    </w:r>
    <w:r w:rsidRPr="00FD7B65">
      <w:rPr>
        <w:noProof/>
        <w:sz w:val="24"/>
      </w:rPr>
      <w:fldChar w:fldCharType="end"/>
    </w:r>
  </w:p>
  <w:p w:rsidR="00FD7B65" w:rsidRDefault="00C60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1B" w:rsidRDefault="0067681B">
      <w:r>
        <w:separator/>
      </w:r>
    </w:p>
  </w:footnote>
  <w:footnote w:type="continuationSeparator" w:id="0">
    <w:p w:rsidR="0067681B" w:rsidRDefault="00676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36EB"/>
    <w:multiLevelType w:val="multilevel"/>
    <w:tmpl w:val="411E91B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5E0A302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228C00C5"/>
    <w:multiLevelType w:val="hybridMultilevel"/>
    <w:tmpl w:val="0868D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3564FD"/>
    <w:multiLevelType w:val="hybridMultilevel"/>
    <w:tmpl w:val="23302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65ACF"/>
    <w:multiLevelType w:val="hybridMultilevel"/>
    <w:tmpl w:val="41F81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32"/>
    <w:rsid w:val="000406EA"/>
    <w:rsid w:val="000C000A"/>
    <w:rsid w:val="00126DFA"/>
    <w:rsid w:val="001B7DD2"/>
    <w:rsid w:val="00236161"/>
    <w:rsid w:val="00285CDB"/>
    <w:rsid w:val="002E74B1"/>
    <w:rsid w:val="002F4222"/>
    <w:rsid w:val="0030708B"/>
    <w:rsid w:val="00330CD6"/>
    <w:rsid w:val="00341570"/>
    <w:rsid w:val="00363633"/>
    <w:rsid w:val="00423C92"/>
    <w:rsid w:val="00424AD0"/>
    <w:rsid w:val="00454202"/>
    <w:rsid w:val="004A3F9A"/>
    <w:rsid w:val="004D515E"/>
    <w:rsid w:val="004F7BE3"/>
    <w:rsid w:val="005426C4"/>
    <w:rsid w:val="00581742"/>
    <w:rsid w:val="0058347C"/>
    <w:rsid w:val="00592ADF"/>
    <w:rsid w:val="005C476A"/>
    <w:rsid w:val="005C7DAB"/>
    <w:rsid w:val="006509BA"/>
    <w:rsid w:val="00666B41"/>
    <w:rsid w:val="0067681B"/>
    <w:rsid w:val="00682E9A"/>
    <w:rsid w:val="00683B9B"/>
    <w:rsid w:val="006A6AF3"/>
    <w:rsid w:val="006B7BCE"/>
    <w:rsid w:val="007369F6"/>
    <w:rsid w:val="00762D82"/>
    <w:rsid w:val="00797274"/>
    <w:rsid w:val="007B3F36"/>
    <w:rsid w:val="00891102"/>
    <w:rsid w:val="008A7A4B"/>
    <w:rsid w:val="008B30C8"/>
    <w:rsid w:val="008B7074"/>
    <w:rsid w:val="00AA4D10"/>
    <w:rsid w:val="00AC3FFD"/>
    <w:rsid w:val="00BA4899"/>
    <w:rsid w:val="00BC50B6"/>
    <w:rsid w:val="00BF05D3"/>
    <w:rsid w:val="00C07F54"/>
    <w:rsid w:val="00C24383"/>
    <w:rsid w:val="00C40289"/>
    <w:rsid w:val="00C60611"/>
    <w:rsid w:val="00C80D32"/>
    <w:rsid w:val="00CA7051"/>
    <w:rsid w:val="00CC3B34"/>
    <w:rsid w:val="00D16A07"/>
    <w:rsid w:val="00D415E1"/>
    <w:rsid w:val="00D96645"/>
    <w:rsid w:val="00DE0ACF"/>
    <w:rsid w:val="00F75BF5"/>
    <w:rsid w:val="00F85F1D"/>
    <w:rsid w:val="00FD0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996E-CD58-497E-B158-018DCF87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2"/>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0D32"/>
    <w:pPr>
      <w:tabs>
        <w:tab w:val="center" w:pos="4153"/>
        <w:tab w:val="right" w:pos="8306"/>
      </w:tabs>
    </w:pPr>
  </w:style>
  <w:style w:type="character" w:customStyle="1" w:styleId="FooterChar">
    <w:name w:val="Footer Char"/>
    <w:basedOn w:val="DefaultParagraphFont"/>
    <w:link w:val="Footer"/>
    <w:uiPriority w:val="99"/>
    <w:rsid w:val="00C80D32"/>
    <w:rPr>
      <w:rFonts w:ascii="Arial" w:eastAsia="Times New Roman" w:hAnsi="Arial" w:cs="Times New Roman"/>
      <w:szCs w:val="20"/>
      <w:lang w:eastAsia="en-GB"/>
    </w:rPr>
  </w:style>
  <w:style w:type="paragraph" w:styleId="ListParagraph">
    <w:name w:val="List Paragraph"/>
    <w:basedOn w:val="Normal"/>
    <w:uiPriority w:val="34"/>
    <w:qFormat/>
    <w:rsid w:val="00C80D32"/>
    <w:pPr>
      <w:spacing w:after="160" w:line="259" w:lineRule="auto"/>
      <w:ind w:left="720"/>
      <w:contextualSpacing/>
    </w:pPr>
    <w:rPr>
      <w:rFonts w:ascii="Calibri" w:eastAsia="Calibri" w:hAnsi="Calibri"/>
      <w:szCs w:val="22"/>
      <w:lang w:eastAsia="en-US"/>
    </w:rPr>
  </w:style>
  <w:style w:type="paragraph" w:customStyle="1" w:styleId="Default">
    <w:name w:val="Default"/>
    <w:rsid w:val="00CC3B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C3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3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Cranshaw, Darren</cp:lastModifiedBy>
  <cp:revision>4</cp:revision>
  <cp:lastPrinted>2018-08-06T16:53:00Z</cp:lastPrinted>
  <dcterms:created xsi:type="dcterms:W3CDTF">2018-08-06T16:54:00Z</dcterms:created>
  <dcterms:modified xsi:type="dcterms:W3CDTF">2018-08-06T17:23:00Z</dcterms:modified>
</cp:coreProperties>
</file>