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057" w14:textId="2C4966DC" w:rsidR="004D5C05" w:rsidRDefault="0037581E" w:rsidP="00C127E7">
      <w:pPr>
        <w:rPr>
          <w:rFonts w:ascii="Arial" w:hAnsi="Arial" w:cs="Arial"/>
          <w:b/>
          <w:sz w:val="24"/>
          <w:szCs w:val="24"/>
        </w:rPr>
      </w:pPr>
      <w:r>
        <w:rPr>
          <w:rFonts w:ascii="Arial" w:hAnsi="Arial" w:cs="Arial"/>
          <w:b/>
          <w:sz w:val="24"/>
          <w:szCs w:val="24"/>
        </w:rPr>
        <w:t xml:space="preserve">Report of </w:t>
      </w:r>
      <w:r w:rsidR="004B6FF8">
        <w:rPr>
          <w:rFonts w:ascii="Arial" w:hAnsi="Arial" w:cs="Arial"/>
          <w:b/>
          <w:sz w:val="24"/>
          <w:szCs w:val="24"/>
        </w:rPr>
        <w:t>the Governance Committee</w:t>
      </w:r>
    </w:p>
    <w:p w14:paraId="5433B1E2" w14:textId="077E6361" w:rsidR="0037581E" w:rsidRPr="00C50C97" w:rsidRDefault="0037581E" w:rsidP="00C127E7">
      <w:pPr>
        <w:pStyle w:val="ListParagraph"/>
        <w:numPr>
          <w:ilvl w:val="0"/>
          <w:numId w:val="1"/>
        </w:numPr>
        <w:ind w:left="567" w:hanging="567"/>
        <w:rPr>
          <w:rFonts w:ascii="Arial" w:hAnsi="Arial" w:cs="Arial"/>
          <w:sz w:val="24"/>
          <w:szCs w:val="24"/>
        </w:rPr>
      </w:pPr>
      <w:r w:rsidRPr="00C50C97">
        <w:rPr>
          <w:rFonts w:ascii="Arial" w:hAnsi="Arial" w:cs="Arial"/>
          <w:sz w:val="24"/>
          <w:szCs w:val="24"/>
        </w:rPr>
        <w:t>Any recommendations on the reports that require a decision by full Council appear as separate items on the agenda</w:t>
      </w:r>
      <w:r w:rsidR="004B6FF8" w:rsidRPr="00C50C97">
        <w:rPr>
          <w:rFonts w:ascii="Arial" w:hAnsi="Arial" w:cs="Arial"/>
          <w:sz w:val="24"/>
          <w:szCs w:val="24"/>
        </w:rPr>
        <w:t>.</w:t>
      </w:r>
      <w:r w:rsidR="00C127E7" w:rsidRPr="00C50C97">
        <w:rPr>
          <w:rFonts w:ascii="Arial" w:hAnsi="Arial" w:cs="Arial"/>
          <w:sz w:val="24"/>
          <w:szCs w:val="24"/>
        </w:rPr>
        <w:br/>
      </w:r>
    </w:p>
    <w:p w14:paraId="0162AA2F" w14:textId="43F28243" w:rsidR="00C127E7" w:rsidRPr="00C50C97" w:rsidRDefault="00C127E7" w:rsidP="00C127E7">
      <w:pPr>
        <w:pStyle w:val="ListParagraph"/>
        <w:numPr>
          <w:ilvl w:val="0"/>
          <w:numId w:val="1"/>
        </w:numPr>
        <w:ind w:left="567" w:hanging="567"/>
        <w:rPr>
          <w:rFonts w:ascii="Arial" w:hAnsi="Arial" w:cs="Arial"/>
          <w:sz w:val="24"/>
          <w:szCs w:val="24"/>
        </w:rPr>
      </w:pPr>
      <w:r w:rsidRPr="00C50C97">
        <w:rPr>
          <w:rFonts w:ascii="Arial" w:hAnsi="Arial" w:cs="Arial"/>
          <w:sz w:val="24"/>
          <w:szCs w:val="24"/>
        </w:rPr>
        <w:t>Please note that the report may not</w:t>
      </w:r>
      <w:r w:rsidR="004B6FF8" w:rsidRPr="00C50C97">
        <w:rPr>
          <w:rFonts w:ascii="Arial" w:hAnsi="Arial" w:cs="Arial"/>
          <w:sz w:val="24"/>
          <w:szCs w:val="24"/>
        </w:rPr>
        <w:t xml:space="preserve"> necessarily</w:t>
      </w:r>
      <w:r w:rsidRPr="00C50C97">
        <w:rPr>
          <w:rFonts w:ascii="Arial" w:hAnsi="Arial" w:cs="Arial"/>
          <w:sz w:val="24"/>
          <w:szCs w:val="24"/>
        </w:rPr>
        <w:t xml:space="preserve"> reflect the wording used in the minutes</w:t>
      </w:r>
      <w:r w:rsidR="001C73D0" w:rsidRPr="00C50C97">
        <w:rPr>
          <w:rFonts w:ascii="Arial" w:hAnsi="Arial" w:cs="Arial"/>
          <w:sz w:val="24"/>
          <w:szCs w:val="24"/>
        </w:rPr>
        <w:t>.</w:t>
      </w:r>
    </w:p>
    <w:p w14:paraId="40A7B50A" w14:textId="4EBA2CBF" w:rsidR="000863FA" w:rsidRPr="00C50C97" w:rsidRDefault="00351663" w:rsidP="00C50C97">
      <w:pPr>
        <w:jc w:val="center"/>
        <w:rPr>
          <w:rFonts w:ascii="Arial" w:hAnsi="Arial" w:cs="Arial"/>
          <w:b/>
          <w:sz w:val="24"/>
          <w:szCs w:val="24"/>
        </w:rPr>
      </w:pPr>
      <w:bookmarkStart w:id="0" w:name="_Hlk56155553"/>
      <w:r w:rsidRPr="00C50C97">
        <w:rPr>
          <w:rFonts w:ascii="Arial" w:hAnsi="Arial" w:cs="Arial"/>
          <w:b/>
          <w:sz w:val="24"/>
          <w:szCs w:val="24"/>
        </w:rPr>
        <w:t>Meeting</w:t>
      </w:r>
      <w:r w:rsidR="009E6254" w:rsidRPr="00C50C97">
        <w:rPr>
          <w:rFonts w:ascii="Arial" w:hAnsi="Arial" w:cs="Arial"/>
          <w:b/>
          <w:sz w:val="24"/>
          <w:szCs w:val="24"/>
        </w:rPr>
        <w:t xml:space="preserve"> held on</w:t>
      </w:r>
      <w:r w:rsidR="00846E0B">
        <w:rPr>
          <w:rFonts w:ascii="Arial" w:hAnsi="Arial" w:cs="Arial"/>
          <w:b/>
          <w:sz w:val="24"/>
          <w:szCs w:val="24"/>
        </w:rPr>
        <w:t xml:space="preserve"> 2</w:t>
      </w:r>
      <w:r w:rsidR="00533697">
        <w:rPr>
          <w:rFonts w:ascii="Arial" w:hAnsi="Arial" w:cs="Arial"/>
          <w:b/>
          <w:sz w:val="24"/>
          <w:szCs w:val="24"/>
        </w:rPr>
        <w:t>8</w:t>
      </w:r>
      <w:r w:rsidR="00846E0B">
        <w:rPr>
          <w:rFonts w:ascii="Arial" w:hAnsi="Arial" w:cs="Arial"/>
          <w:b/>
          <w:sz w:val="24"/>
          <w:szCs w:val="24"/>
        </w:rPr>
        <w:t xml:space="preserve"> November </w:t>
      </w:r>
      <w:r w:rsidR="009E6254" w:rsidRPr="00C50C97">
        <w:rPr>
          <w:rFonts w:ascii="Arial" w:hAnsi="Arial" w:cs="Arial"/>
          <w:b/>
          <w:sz w:val="24"/>
          <w:szCs w:val="24"/>
        </w:rPr>
        <w:t>202</w:t>
      </w:r>
      <w:r w:rsidR="00BB0E6B">
        <w:rPr>
          <w:rFonts w:ascii="Arial" w:hAnsi="Arial" w:cs="Arial"/>
          <w:b/>
          <w:sz w:val="24"/>
          <w:szCs w:val="24"/>
        </w:rPr>
        <w:t>3</w:t>
      </w:r>
    </w:p>
    <w:p w14:paraId="5BA6A97E" w14:textId="59CE1EC9" w:rsidR="000863FA" w:rsidRPr="00C50C97" w:rsidRDefault="000863FA" w:rsidP="000863FA">
      <w:pPr>
        <w:rPr>
          <w:rFonts w:ascii="Arial" w:hAnsi="Arial" w:cs="Arial"/>
          <w:b/>
          <w:sz w:val="24"/>
          <w:szCs w:val="24"/>
        </w:rPr>
      </w:pPr>
    </w:p>
    <w:p w14:paraId="79543864" w14:textId="387CB8AB" w:rsidR="008326DC" w:rsidRPr="008326DC" w:rsidRDefault="00D24335" w:rsidP="008326DC">
      <w:pPr>
        <w:spacing w:after="0" w:line="240" w:lineRule="auto"/>
        <w:ind w:left="11"/>
        <w:jc w:val="both"/>
        <w:rPr>
          <w:rFonts w:ascii="Arial Bold" w:eastAsia="Times New Roman" w:hAnsi="Arial Bold" w:cs="Times New Roman"/>
          <w:bCs/>
          <w:sz w:val="24"/>
          <w:lang w:eastAsia="en-GB"/>
        </w:rPr>
      </w:pPr>
      <w:r>
        <w:rPr>
          <w:rFonts w:ascii="Arial Bold" w:eastAsia="Times New Roman" w:hAnsi="Arial Bold" w:cs="Times New Roman"/>
          <w:b/>
          <w:sz w:val="24"/>
          <w:bdr w:val="nil"/>
          <w:lang w:eastAsia="en-GB"/>
        </w:rPr>
        <w:t>Draft Audit Findings Report 2022-23</w:t>
      </w:r>
    </w:p>
    <w:p w14:paraId="3A26E5EB" w14:textId="014F3660" w:rsidR="00FE34A9" w:rsidRPr="00F479BA" w:rsidRDefault="00FE34A9" w:rsidP="000863FA">
      <w:pPr>
        <w:rPr>
          <w:rFonts w:ascii="Arial" w:hAnsi="Arial" w:cs="Arial"/>
          <w:b/>
          <w:sz w:val="24"/>
          <w:szCs w:val="24"/>
          <w:bdr w:val="none" w:sz="0" w:space="0" w:color="auto" w:frame="1"/>
        </w:rPr>
      </w:pPr>
    </w:p>
    <w:p w14:paraId="0ED55A57" w14:textId="3144E80F" w:rsidR="00D24335" w:rsidRPr="00D24335" w:rsidRDefault="00FE34A9" w:rsidP="00D24335">
      <w:pPr>
        <w:ind w:left="720" w:hanging="720"/>
        <w:rPr>
          <w:rFonts w:ascii="Arial" w:eastAsia="Times New Roman" w:hAnsi="Arial" w:cs="Times New Roman"/>
          <w:sz w:val="24"/>
          <w:szCs w:val="24"/>
          <w:lang w:eastAsia="en-GB"/>
        </w:rPr>
      </w:pPr>
      <w:r w:rsidRPr="00F479BA">
        <w:rPr>
          <w:rFonts w:ascii="Arial" w:eastAsia="Times New Roman" w:hAnsi="Arial" w:cs="Arial"/>
          <w:sz w:val="24"/>
          <w:szCs w:val="24"/>
          <w:lang w:eastAsia="en-GB"/>
        </w:rPr>
        <w:t>3.</w:t>
      </w:r>
      <w:r w:rsidRPr="00F479BA">
        <w:rPr>
          <w:rFonts w:ascii="Arial" w:eastAsia="Times New Roman" w:hAnsi="Arial" w:cs="Arial"/>
          <w:sz w:val="24"/>
          <w:szCs w:val="24"/>
          <w:lang w:eastAsia="en-GB"/>
        </w:rPr>
        <w:tab/>
      </w:r>
      <w:r w:rsidR="00D24335" w:rsidRPr="00D24335">
        <w:rPr>
          <w:rFonts w:ascii="Arial" w:eastAsia="Times New Roman" w:hAnsi="Arial" w:cs="Times New Roman"/>
          <w:sz w:val="24"/>
          <w:szCs w:val="24"/>
          <w:lang w:eastAsia="en-GB"/>
        </w:rPr>
        <w:t xml:space="preserve">Matt Derrick, External Auditor (Grant Thornton) presented the draft Audit Findings Report 2022-23. Mr Derrick reported that there would need to be an adjustment to the accounts arising from the fact the pension fund valuation was 12.5m net (assets exceeding liabilities). Following an external assessment, the pension fund would not be categorised as an asset and a decision would need to be taken how this should be represented in the final Statement of Accounts.   </w:t>
      </w:r>
    </w:p>
    <w:tbl>
      <w:tblPr>
        <w:tblW w:w="619" w:type="dxa"/>
        <w:tblInd w:w="-601" w:type="dxa"/>
        <w:tblLayout w:type="fixed"/>
        <w:tblLook w:val="04A0" w:firstRow="1" w:lastRow="0" w:firstColumn="1" w:lastColumn="0" w:noHBand="0" w:noVBand="1"/>
      </w:tblPr>
      <w:tblGrid>
        <w:gridCol w:w="619"/>
      </w:tblGrid>
      <w:tr w:rsidR="00FE34A9" w:rsidRPr="00C50C97" w14:paraId="4FCE1134" w14:textId="77777777" w:rsidTr="00FB64EA">
        <w:tc>
          <w:tcPr>
            <w:tcW w:w="619" w:type="dxa"/>
            <w:hideMark/>
          </w:tcPr>
          <w:p w14:paraId="7630F904" w14:textId="1B031F62" w:rsidR="00FE34A9" w:rsidRPr="00C50C97" w:rsidRDefault="00FE34A9" w:rsidP="00FB64EA">
            <w:pPr>
              <w:rPr>
                <w:rFonts w:ascii="Arial" w:hAnsi="Arial" w:cs="Arial"/>
                <w:b/>
                <w:sz w:val="24"/>
                <w:szCs w:val="24"/>
              </w:rPr>
            </w:pPr>
          </w:p>
        </w:tc>
      </w:tr>
    </w:tbl>
    <w:p w14:paraId="59DC4215" w14:textId="7C2506EE" w:rsidR="00FE34A9" w:rsidRPr="0024675D" w:rsidRDefault="00FE34A9" w:rsidP="00FE34A9">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ab/>
      </w:r>
    </w:p>
    <w:p w14:paraId="50EBD63F" w14:textId="77777777" w:rsidR="00D24335" w:rsidRPr="00D24335" w:rsidRDefault="00FE34A9" w:rsidP="00D24335">
      <w:pPr>
        <w:spacing w:after="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0"/>
          <w:lang w:eastAsia="en-GB"/>
        </w:rPr>
        <w:t>4.</w:t>
      </w:r>
      <w:r>
        <w:rPr>
          <w:rFonts w:ascii="Arial" w:eastAsia="Times New Roman" w:hAnsi="Arial" w:cs="Times New Roman"/>
          <w:sz w:val="24"/>
          <w:szCs w:val="20"/>
          <w:lang w:eastAsia="en-GB"/>
        </w:rPr>
        <w:tab/>
      </w:r>
      <w:r w:rsidR="00D24335" w:rsidRPr="00D24335">
        <w:rPr>
          <w:rFonts w:ascii="Arial" w:eastAsia="Times New Roman" w:hAnsi="Arial" w:cs="Times New Roman"/>
          <w:sz w:val="24"/>
          <w:szCs w:val="24"/>
          <w:lang w:eastAsia="en-GB"/>
        </w:rPr>
        <w:t xml:space="preserve">It was noted that it was unusual for a pension fund to be in surplus. It was highlighted that pension investments were particularly sensitive to interest rates, so the value may have </w:t>
      </w:r>
      <w:proofErr w:type="gramStart"/>
      <w:r w:rsidR="00D24335" w:rsidRPr="00D24335">
        <w:rPr>
          <w:rFonts w:ascii="Arial" w:eastAsia="Times New Roman" w:hAnsi="Arial" w:cs="Times New Roman"/>
          <w:sz w:val="24"/>
          <w:szCs w:val="24"/>
          <w:lang w:eastAsia="en-GB"/>
        </w:rPr>
        <w:t>actually fallen</w:t>
      </w:r>
      <w:proofErr w:type="gramEnd"/>
      <w:r w:rsidR="00D24335" w:rsidRPr="00D24335">
        <w:rPr>
          <w:rFonts w:ascii="Arial" w:eastAsia="Times New Roman" w:hAnsi="Arial" w:cs="Times New Roman"/>
          <w:sz w:val="24"/>
          <w:szCs w:val="24"/>
          <w:lang w:eastAsia="en-GB"/>
        </w:rPr>
        <w:t xml:space="preserve"> since March 2022. Mr Derrick indicated that the Lancashire Pension Fund was evaluated every 3 years. </w:t>
      </w:r>
    </w:p>
    <w:p w14:paraId="028708BB" w14:textId="77777777" w:rsidR="00D24335" w:rsidRPr="00D24335" w:rsidRDefault="00D24335" w:rsidP="00D24335">
      <w:pPr>
        <w:spacing w:after="0" w:line="240" w:lineRule="auto"/>
        <w:rPr>
          <w:rFonts w:ascii="Arial" w:eastAsia="Times New Roman" w:hAnsi="Arial" w:cs="Times New Roman"/>
          <w:sz w:val="24"/>
          <w:szCs w:val="24"/>
          <w:lang w:eastAsia="en-GB"/>
        </w:rPr>
      </w:pPr>
    </w:p>
    <w:p w14:paraId="71DFF6B1" w14:textId="1166993F" w:rsidR="00FE34A9" w:rsidRPr="00FE34A9" w:rsidRDefault="00FE34A9" w:rsidP="00FE34A9">
      <w:pPr>
        <w:spacing w:after="0" w:line="240" w:lineRule="auto"/>
        <w:ind w:left="720" w:hanging="720"/>
        <w:rPr>
          <w:rFonts w:ascii="Arial" w:eastAsia="Arial" w:hAnsi="Arial" w:cs="Arial"/>
          <w:sz w:val="24"/>
          <w:szCs w:val="24"/>
          <w:lang w:eastAsia="en-GB"/>
        </w:rPr>
      </w:pPr>
    </w:p>
    <w:p w14:paraId="3807E70D" w14:textId="77777777" w:rsidR="00FE34A9" w:rsidRPr="00FE34A9" w:rsidRDefault="00FE34A9" w:rsidP="00FE34A9">
      <w:pPr>
        <w:spacing w:after="0" w:line="240" w:lineRule="auto"/>
        <w:rPr>
          <w:rFonts w:ascii="Arial" w:eastAsia="Arial" w:hAnsi="Arial" w:cs="Arial"/>
          <w:sz w:val="24"/>
          <w:szCs w:val="24"/>
          <w:lang w:eastAsia="en-GB"/>
        </w:rPr>
      </w:pPr>
      <w:r w:rsidRPr="00FE34A9">
        <w:rPr>
          <w:rFonts w:ascii="Arial" w:eastAsia="Times New Roman" w:hAnsi="Arial" w:cs="Times New Roman"/>
          <w:sz w:val="24"/>
          <w:szCs w:val="24"/>
          <w:lang w:eastAsia="en-GB"/>
        </w:rPr>
        <w:t> </w:t>
      </w:r>
    </w:p>
    <w:p w14:paraId="2CE0F19C" w14:textId="7AA4614C" w:rsidR="00B4326E" w:rsidRPr="00B4326E" w:rsidRDefault="00FE34A9" w:rsidP="00B4326E">
      <w:pPr>
        <w:ind w:left="720" w:hanging="720"/>
        <w:rPr>
          <w:rFonts w:ascii="Arial" w:eastAsia="Arial" w:hAnsi="Arial" w:cs="Arial"/>
          <w:sz w:val="24"/>
          <w:szCs w:val="20"/>
          <w:lang w:eastAsia="en-GB"/>
        </w:rPr>
      </w:pPr>
      <w:r>
        <w:rPr>
          <w:rFonts w:ascii="Arial" w:eastAsia="Times New Roman" w:hAnsi="Arial" w:cs="Times New Roman"/>
          <w:sz w:val="24"/>
          <w:szCs w:val="20"/>
          <w:lang w:eastAsia="en-GB"/>
        </w:rPr>
        <w:t>5.</w:t>
      </w:r>
      <w:r>
        <w:rPr>
          <w:rFonts w:ascii="Arial" w:eastAsia="Times New Roman" w:hAnsi="Arial" w:cs="Times New Roman"/>
          <w:sz w:val="24"/>
          <w:szCs w:val="20"/>
          <w:lang w:eastAsia="en-GB"/>
        </w:rPr>
        <w:tab/>
      </w:r>
      <w:bookmarkEnd w:id="0"/>
      <w:r w:rsidR="00D24335" w:rsidRPr="00D24335">
        <w:rPr>
          <w:rFonts w:ascii="Arial" w:eastAsia="Times New Roman" w:hAnsi="Arial" w:cs="Times New Roman"/>
          <w:sz w:val="24"/>
          <w:szCs w:val="24"/>
          <w:lang w:eastAsia="en-GB"/>
        </w:rPr>
        <w:t xml:space="preserve">Louise Mattinson, Director of Finance indicated that the Final Audit Findings Report 2033-23 with full Management Responses (including progress </w:t>
      </w:r>
      <w:proofErr w:type="gramStart"/>
      <w:r w:rsidR="00D24335" w:rsidRPr="00D24335">
        <w:rPr>
          <w:rFonts w:ascii="Arial" w:eastAsia="Times New Roman" w:hAnsi="Arial" w:cs="Times New Roman"/>
          <w:sz w:val="24"/>
          <w:szCs w:val="24"/>
          <w:lang w:eastAsia="en-GB"/>
        </w:rPr>
        <w:t>with regard to</w:t>
      </w:r>
      <w:proofErr w:type="gramEnd"/>
      <w:r w:rsidR="00D24335" w:rsidRPr="00D24335">
        <w:rPr>
          <w:rFonts w:ascii="Arial" w:eastAsia="Times New Roman" w:hAnsi="Arial" w:cs="Times New Roman"/>
          <w:sz w:val="24"/>
          <w:szCs w:val="24"/>
          <w:lang w:eastAsia="en-GB"/>
        </w:rPr>
        <w:t xml:space="preserve"> procurement recommendations), would be submitted to Governance Committee in January 2024</w:t>
      </w:r>
      <w:r w:rsidR="00936E92">
        <w:rPr>
          <w:rFonts w:ascii="Arial" w:eastAsia="Times New Roman" w:hAnsi="Arial" w:cs="Times New Roman"/>
          <w:sz w:val="24"/>
          <w:szCs w:val="24"/>
          <w:lang w:eastAsia="en-GB"/>
        </w:rPr>
        <w:t>.</w:t>
      </w:r>
    </w:p>
    <w:p w14:paraId="4CA1AA4A"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5432893B" w14:textId="13E365DE" w:rsidR="00D24335" w:rsidRPr="00D24335" w:rsidRDefault="00B4326E" w:rsidP="00D24335">
      <w:pPr>
        <w:spacing w:after="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0"/>
          <w:lang w:eastAsia="en-GB"/>
        </w:rPr>
        <w:t xml:space="preserve">6. </w:t>
      </w:r>
      <w:r>
        <w:rPr>
          <w:rFonts w:ascii="Arial" w:eastAsia="Times New Roman" w:hAnsi="Arial" w:cs="Times New Roman"/>
          <w:sz w:val="24"/>
          <w:szCs w:val="20"/>
          <w:lang w:eastAsia="en-GB"/>
        </w:rPr>
        <w:tab/>
      </w:r>
      <w:r w:rsidR="00D24335" w:rsidRPr="00D24335">
        <w:rPr>
          <w:rFonts w:ascii="Arial" w:eastAsia="Times New Roman" w:hAnsi="Arial" w:cs="Times New Roman"/>
          <w:sz w:val="24"/>
          <w:szCs w:val="24"/>
          <w:lang w:eastAsia="en-GB"/>
        </w:rPr>
        <w:t>Arising from a query in relation to a formal policy for cyber security (page 17), Louise Mattinson indicated that she had passed on the matter to the Director of Customer and Digital, Asim Khan, for a response.</w:t>
      </w:r>
    </w:p>
    <w:p w14:paraId="710EB0B2" w14:textId="31C771A1" w:rsidR="00B4326E" w:rsidRPr="00B4326E" w:rsidRDefault="00B4326E" w:rsidP="00B4326E">
      <w:pPr>
        <w:spacing w:after="0" w:line="240" w:lineRule="auto"/>
        <w:ind w:left="720" w:hanging="720"/>
        <w:rPr>
          <w:rFonts w:ascii="Arial" w:eastAsia="Arial" w:hAnsi="Arial" w:cs="Arial"/>
          <w:sz w:val="24"/>
          <w:szCs w:val="20"/>
          <w:lang w:eastAsia="en-GB"/>
        </w:rPr>
      </w:pPr>
    </w:p>
    <w:p w14:paraId="5B9D985F"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47EB4A28" w14:textId="79D152DA" w:rsidR="00B4326E" w:rsidRPr="00B4326E" w:rsidRDefault="00B4326E" w:rsidP="00B4326E">
      <w:pPr>
        <w:spacing w:after="0" w:line="240" w:lineRule="auto"/>
        <w:ind w:left="720" w:hanging="720"/>
        <w:rPr>
          <w:rFonts w:ascii="Arial" w:eastAsia="Arial" w:hAnsi="Arial" w:cs="Arial"/>
          <w:sz w:val="24"/>
          <w:szCs w:val="20"/>
          <w:lang w:eastAsia="en-GB"/>
        </w:rPr>
      </w:pPr>
      <w:r>
        <w:rPr>
          <w:rFonts w:ascii="Arial" w:eastAsia="Times New Roman" w:hAnsi="Arial" w:cs="Times New Roman"/>
          <w:sz w:val="24"/>
          <w:szCs w:val="20"/>
          <w:lang w:eastAsia="en-GB"/>
        </w:rPr>
        <w:t xml:space="preserve">7. </w:t>
      </w:r>
      <w:r>
        <w:rPr>
          <w:rFonts w:ascii="Arial" w:eastAsia="Times New Roman" w:hAnsi="Arial" w:cs="Times New Roman"/>
          <w:sz w:val="24"/>
          <w:szCs w:val="20"/>
          <w:lang w:eastAsia="en-GB"/>
        </w:rPr>
        <w:tab/>
      </w:r>
      <w:r w:rsidR="00D24335">
        <w:rPr>
          <w:rFonts w:ascii="Arial" w:eastAsia="Times New Roman" w:hAnsi="Arial" w:cs="Times New Roman"/>
          <w:sz w:val="24"/>
          <w:szCs w:val="20"/>
          <w:lang w:eastAsia="en-GB"/>
        </w:rPr>
        <w:t>The Committee noted the report</w:t>
      </w:r>
      <w:r w:rsidRPr="00B4326E">
        <w:rPr>
          <w:rFonts w:ascii="Arial" w:eastAsia="Times New Roman" w:hAnsi="Arial" w:cs="Times New Roman"/>
          <w:sz w:val="24"/>
          <w:szCs w:val="20"/>
          <w:lang w:eastAsia="en-GB"/>
        </w:rPr>
        <w:t xml:space="preserve">. </w:t>
      </w:r>
    </w:p>
    <w:p w14:paraId="2888AB9C" w14:textId="77777777" w:rsidR="00B4326E" w:rsidRPr="00B4326E" w:rsidRDefault="00B4326E" w:rsidP="00B4326E">
      <w:pPr>
        <w:spacing w:after="0" w:line="240" w:lineRule="auto"/>
        <w:rPr>
          <w:rFonts w:ascii="Arial" w:eastAsia="Arial" w:hAnsi="Arial" w:cs="Arial"/>
          <w:sz w:val="24"/>
          <w:szCs w:val="20"/>
          <w:lang w:eastAsia="en-GB"/>
        </w:rPr>
      </w:pPr>
      <w:r w:rsidRPr="00B4326E">
        <w:rPr>
          <w:rFonts w:ascii="Arial" w:eastAsia="Times New Roman" w:hAnsi="Arial" w:cs="Times New Roman"/>
          <w:sz w:val="24"/>
          <w:szCs w:val="20"/>
          <w:lang w:eastAsia="en-GB"/>
        </w:rPr>
        <w:t> </w:t>
      </w:r>
    </w:p>
    <w:p w14:paraId="048AF391" w14:textId="1BB967FD" w:rsidR="00B4326E" w:rsidRPr="00B4326E" w:rsidRDefault="00B4326E" w:rsidP="00D24335">
      <w:pPr>
        <w:spacing w:after="0" w:line="240" w:lineRule="auto"/>
        <w:ind w:left="720" w:hanging="720"/>
        <w:rPr>
          <w:rFonts w:ascii="Arial" w:eastAsia="Arial" w:hAnsi="Arial" w:cs="Arial"/>
          <w:sz w:val="24"/>
          <w:szCs w:val="20"/>
          <w:lang w:eastAsia="en-GB"/>
        </w:rPr>
      </w:pPr>
    </w:p>
    <w:p w14:paraId="31FB716F" w14:textId="61AEC688" w:rsidR="00481229" w:rsidRDefault="00481229" w:rsidP="00A5139A">
      <w:pPr>
        <w:spacing w:after="0" w:line="240" w:lineRule="auto"/>
        <w:ind w:left="720" w:hanging="720"/>
        <w:rPr>
          <w:rFonts w:ascii="Arial Bold" w:eastAsia="Times New Roman" w:hAnsi="Arial Bold" w:cs="Times New Roman"/>
          <w:bCs/>
          <w:sz w:val="24"/>
          <w:szCs w:val="24"/>
          <w:lang w:eastAsia="en-GB"/>
        </w:rPr>
      </w:pPr>
    </w:p>
    <w:p w14:paraId="6425C79B" w14:textId="0142A706" w:rsidR="00A943AB" w:rsidRDefault="00A943AB" w:rsidP="00C97477">
      <w:pPr>
        <w:spacing w:after="0" w:line="240" w:lineRule="auto"/>
        <w:rPr>
          <w:rFonts w:eastAsia="Arial" w:cs="Arial"/>
        </w:rPr>
      </w:pPr>
    </w:p>
    <w:p w14:paraId="41697BD0" w14:textId="77777777" w:rsidR="00D74BE6" w:rsidRDefault="00D74BE6" w:rsidP="00C97477">
      <w:pPr>
        <w:spacing w:after="0" w:line="240" w:lineRule="auto"/>
        <w:rPr>
          <w:rFonts w:eastAsia="Arial" w:cs="Arial"/>
        </w:rPr>
      </w:pPr>
    </w:p>
    <w:p w14:paraId="0510D2BB" w14:textId="77777777" w:rsidR="00D74BE6" w:rsidRDefault="00D74BE6" w:rsidP="00C97477">
      <w:pPr>
        <w:spacing w:after="0" w:line="240" w:lineRule="auto"/>
        <w:rPr>
          <w:rFonts w:eastAsia="Arial" w:cs="Arial"/>
        </w:rPr>
      </w:pPr>
    </w:p>
    <w:p w14:paraId="1615B668" w14:textId="77777777" w:rsidR="00D74BE6" w:rsidRDefault="00D74BE6" w:rsidP="00C97477">
      <w:pPr>
        <w:spacing w:after="0" w:line="240" w:lineRule="auto"/>
        <w:rPr>
          <w:rFonts w:eastAsia="Arial" w:cs="Arial"/>
        </w:rPr>
      </w:pPr>
    </w:p>
    <w:p w14:paraId="531278D1" w14:textId="77777777" w:rsidR="00D74BE6" w:rsidRDefault="00D74BE6" w:rsidP="00C97477">
      <w:pPr>
        <w:spacing w:after="0" w:line="240" w:lineRule="auto"/>
        <w:rPr>
          <w:rFonts w:eastAsia="Arial" w:cs="Arial"/>
        </w:rPr>
      </w:pPr>
    </w:p>
    <w:p w14:paraId="6C204E57" w14:textId="77777777" w:rsidR="00D74BE6" w:rsidRPr="00A943AB" w:rsidRDefault="00D74BE6" w:rsidP="00C97477">
      <w:pPr>
        <w:spacing w:after="0" w:line="240" w:lineRule="auto"/>
        <w:rPr>
          <w:rFonts w:eastAsia="Arial" w:cs="Arial"/>
        </w:rPr>
      </w:pPr>
    </w:p>
    <w:p w14:paraId="66CEB30B" w14:textId="7E2EC9BC" w:rsidR="00E83B11" w:rsidRPr="00E83B11" w:rsidRDefault="00082CF3" w:rsidP="00E83B11">
      <w:pPr>
        <w:spacing w:after="0" w:line="240" w:lineRule="auto"/>
        <w:ind w:left="11"/>
        <w:jc w:val="both"/>
        <w:rPr>
          <w:rFonts w:ascii="Arial Bold" w:eastAsia="Times New Roman" w:hAnsi="Arial Bold" w:cs="Times New Roman"/>
          <w:bCs/>
          <w:sz w:val="24"/>
          <w:lang w:eastAsia="en-GB"/>
        </w:rPr>
      </w:pPr>
      <w:r>
        <w:rPr>
          <w:rFonts w:ascii="Arial Bold" w:eastAsia="Times New Roman" w:hAnsi="Arial Bold" w:cs="Times New Roman"/>
          <w:b/>
          <w:sz w:val="24"/>
          <w:bdr w:val="nil"/>
          <w:lang w:eastAsia="en-GB"/>
        </w:rPr>
        <w:lastRenderedPageBreak/>
        <w:t>Statement of Accounts 2022-23</w:t>
      </w:r>
    </w:p>
    <w:p w14:paraId="3DF095D2" w14:textId="57E59127" w:rsidR="00A943AB" w:rsidRPr="005D452D" w:rsidRDefault="00A943AB" w:rsidP="00E83B11">
      <w:pPr>
        <w:jc w:val="both"/>
        <w:rPr>
          <w:rFonts w:ascii="Arial" w:eastAsia="Times New Roman" w:hAnsi="Arial" w:cs="Arial"/>
          <w:vanish/>
          <w:sz w:val="24"/>
          <w:szCs w:val="24"/>
        </w:rPr>
      </w:pPr>
      <w:r w:rsidRPr="005D452D">
        <w:rPr>
          <w:rFonts w:ascii="Arial" w:hAnsi="Arial" w:cs="Arial"/>
          <w:vanish/>
          <w:sz w:val="24"/>
          <w:szCs w:val="24"/>
        </w:rPr>
        <w:t>&lt;/AI4&gt;</w:t>
      </w:r>
    </w:p>
    <w:p w14:paraId="51B07274" w14:textId="77777777" w:rsidR="00A943AB" w:rsidRPr="005D452D" w:rsidRDefault="00A943AB" w:rsidP="00A943AB">
      <w:pPr>
        <w:rPr>
          <w:rFonts w:ascii="Arial" w:hAnsi="Arial" w:cs="Arial"/>
          <w:vanish/>
          <w:sz w:val="24"/>
          <w:szCs w:val="24"/>
        </w:rPr>
      </w:pPr>
      <w:r w:rsidRPr="005D452D">
        <w:rPr>
          <w:rFonts w:ascii="Arial" w:hAnsi="Arial" w:cs="Arial"/>
          <w:vanish/>
          <w:sz w:val="24"/>
          <w:szCs w:val="24"/>
        </w:rPr>
        <w:t>&lt;AI5&gt;</w:t>
      </w:r>
    </w:p>
    <w:p w14:paraId="38A8BEDA" w14:textId="25292BB8" w:rsidR="001A20FA" w:rsidRPr="005D452D" w:rsidRDefault="001A20FA" w:rsidP="001A20FA">
      <w:pPr>
        <w:rPr>
          <w:rFonts w:ascii="Arial" w:hAnsi="Arial" w:cs="Arial"/>
          <w:sz w:val="24"/>
          <w:szCs w:val="24"/>
        </w:rPr>
      </w:pPr>
    </w:p>
    <w:p w14:paraId="797E6D2F" w14:textId="3CBDC762" w:rsidR="00082CF3" w:rsidRPr="00082CF3" w:rsidRDefault="00F011B6" w:rsidP="00082CF3">
      <w:pPr>
        <w:ind w:left="720" w:hanging="720"/>
        <w:rPr>
          <w:rFonts w:ascii="Arial" w:eastAsia="Times New Roman" w:hAnsi="Arial" w:cs="Times New Roman"/>
          <w:sz w:val="24"/>
          <w:szCs w:val="24"/>
          <w:lang w:eastAsia="en-GB"/>
        </w:rPr>
      </w:pPr>
      <w:r>
        <w:rPr>
          <w:rFonts w:ascii="Arial" w:hAnsi="Arial" w:cs="Arial"/>
        </w:rPr>
        <w:t>8</w:t>
      </w:r>
      <w:r w:rsidR="001A20FA" w:rsidRPr="001A20FA">
        <w:rPr>
          <w:rFonts w:ascii="Arial" w:hAnsi="Arial" w:cs="Arial"/>
        </w:rPr>
        <w:t>.</w:t>
      </w:r>
      <w:r w:rsidR="001A20FA">
        <w:tab/>
      </w:r>
      <w:r w:rsidR="00082CF3" w:rsidRPr="00082CF3">
        <w:rPr>
          <w:rFonts w:ascii="Arial" w:eastAsia="Times New Roman" w:hAnsi="Arial" w:cs="Times New Roman"/>
          <w:sz w:val="24"/>
          <w:szCs w:val="24"/>
          <w:lang w:eastAsia="en-GB"/>
        </w:rPr>
        <w:t>Jean Waddington, Principal Financial Accountant, presented a report of the Director of Finance which submitted for approval for the Statement of Accounts 2022-23.  As the external audit had not yet been fully completed, the report recommended that the Director of Finance, in consultation with the Chair of the Governance Committee, should approve any further non-material amendments to the Statement of Accounts, if necessary, before the accounts were signed and dated. If the Director of Finance is of the opinion that the amendments are material to the financial position of the council, Governance Committee should be reconvened to approve the new Statement of Accounts.</w:t>
      </w:r>
    </w:p>
    <w:p w14:paraId="65729AD4" w14:textId="77777777" w:rsidR="00EA07C6" w:rsidRPr="00EA07C6" w:rsidRDefault="00EA07C6" w:rsidP="00EA07C6">
      <w:pPr>
        <w:spacing w:after="0" w:line="240" w:lineRule="auto"/>
        <w:rPr>
          <w:rFonts w:ascii="Arial" w:eastAsia="Arial" w:hAnsi="Arial" w:cs="Arial"/>
          <w:sz w:val="24"/>
          <w:szCs w:val="20"/>
          <w:lang w:eastAsia="en-GB"/>
        </w:rPr>
      </w:pPr>
      <w:r w:rsidRPr="00EA07C6">
        <w:rPr>
          <w:rFonts w:ascii="Arial" w:eastAsia="Times New Roman" w:hAnsi="Arial" w:cs="Times New Roman"/>
          <w:sz w:val="24"/>
          <w:szCs w:val="20"/>
          <w:lang w:eastAsia="en-GB"/>
        </w:rPr>
        <w:t> </w:t>
      </w:r>
    </w:p>
    <w:p w14:paraId="3EB08D88" w14:textId="5AFEF9D7" w:rsidR="008079D9" w:rsidRPr="008079D9" w:rsidRDefault="00F011B6" w:rsidP="008079D9">
      <w:pPr>
        <w:ind w:left="720" w:hanging="720"/>
        <w:rPr>
          <w:rFonts w:ascii="Arial" w:eastAsia="Times New Roman" w:hAnsi="Arial" w:cs="Times New Roman"/>
          <w:sz w:val="24"/>
          <w:szCs w:val="24"/>
          <w:lang w:eastAsia="en-GB"/>
        </w:rPr>
      </w:pPr>
      <w:r>
        <w:rPr>
          <w:rFonts w:ascii="Arial" w:eastAsia="Times New Roman" w:hAnsi="Arial" w:cs="Times New Roman"/>
          <w:sz w:val="24"/>
          <w:szCs w:val="20"/>
          <w:lang w:eastAsia="en-GB"/>
        </w:rPr>
        <w:t>9</w:t>
      </w:r>
      <w:r w:rsidR="00EA07C6">
        <w:rPr>
          <w:rFonts w:ascii="Arial" w:eastAsia="Times New Roman" w:hAnsi="Arial" w:cs="Times New Roman"/>
          <w:sz w:val="24"/>
          <w:szCs w:val="20"/>
          <w:lang w:eastAsia="en-GB"/>
        </w:rPr>
        <w:t>.</w:t>
      </w:r>
      <w:r w:rsidR="00EA07C6">
        <w:rPr>
          <w:rFonts w:ascii="Arial" w:eastAsia="Times New Roman" w:hAnsi="Arial" w:cs="Times New Roman"/>
          <w:sz w:val="24"/>
          <w:szCs w:val="20"/>
          <w:lang w:eastAsia="en-GB"/>
        </w:rPr>
        <w:tab/>
      </w:r>
      <w:r w:rsidR="008079D9" w:rsidRPr="008079D9">
        <w:rPr>
          <w:rFonts w:ascii="Arial" w:eastAsia="Times New Roman" w:hAnsi="Arial" w:cs="Times New Roman"/>
          <w:sz w:val="24"/>
          <w:szCs w:val="24"/>
          <w:lang w:eastAsia="en-GB"/>
        </w:rPr>
        <w:t>Ms Waddington explained that unfortunately, it would not be possible to meet the statutory deadline of publishing the Audited Statement of Accounts by 30 November 2023, however, it would be actioned by the end of the year.</w:t>
      </w:r>
    </w:p>
    <w:p w14:paraId="16327AFE" w14:textId="77777777" w:rsidR="008079D9" w:rsidRPr="008079D9" w:rsidRDefault="008079D9" w:rsidP="008079D9">
      <w:pPr>
        <w:spacing w:after="0" w:line="240" w:lineRule="auto"/>
        <w:rPr>
          <w:rFonts w:ascii="Arial" w:eastAsia="Times New Roman" w:hAnsi="Arial" w:cs="Times New Roman"/>
          <w:sz w:val="24"/>
          <w:szCs w:val="24"/>
          <w:lang w:eastAsia="en-GB"/>
        </w:rPr>
      </w:pPr>
    </w:p>
    <w:p w14:paraId="29A51AEC" w14:textId="21FD2503" w:rsidR="008079D9" w:rsidRPr="008079D9" w:rsidRDefault="008079D9" w:rsidP="008079D9">
      <w:pPr>
        <w:spacing w:after="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4"/>
          <w:lang w:eastAsia="en-GB"/>
        </w:rPr>
        <w:t>1</w:t>
      </w:r>
      <w:r w:rsidR="00F011B6">
        <w:rPr>
          <w:rFonts w:ascii="Arial" w:eastAsia="Times New Roman" w:hAnsi="Arial" w:cs="Times New Roman"/>
          <w:sz w:val="24"/>
          <w:szCs w:val="24"/>
          <w:lang w:eastAsia="en-GB"/>
        </w:rPr>
        <w:t>0</w:t>
      </w:r>
      <w:r>
        <w:rPr>
          <w:rFonts w:ascii="Arial" w:eastAsia="Times New Roman" w:hAnsi="Arial" w:cs="Times New Roman"/>
          <w:sz w:val="24"/>
          <w:szCs w:val="24"/>
          <w:lang w:eastAsia="en-GB"/>
        </w:rPr>
        <w:t>.</w:t>
      </w:r>
      <w:r>
        <w:rPr>
          <w:rFonts w:ascii="Arial" w:eastAsia="Times New Roman" w:hAnsi="Arial" w:cs="Times New Roman"/>
          <w:sz w:val="24"/>
          <w:szCs w:val="24"/>
          <w:lang w:eastAsia="en-GB"/>
        </w:rPr>
        <w:tab/>
      </w:r>
      <w:proofErr w:type="gramStart"/>
      <w:r w:rsidRPr="008079D9">
        <w:rPr>
          <w:rFonts w:ascii="Arial" w:eastAsia="Times New Roman" w:hAnsi="Arial" w:cs="Times New Roman"/>
          <w:sz w:val="24"/>
          <w:szCs w:val="24"/>
          <w:lang w:eastAsia="en-GB"/>
        </w:rPr>
        <w:t>With regard to</w:t>
      </w:r>
      <w:proofErr w:type="gramEnd"/>
      <w:r w:rsidRPr="008079D9">
        <w:rPr>
          <w:rFonts w:ascii="Arial" w:eastAsia="Times New Roman" w:hAnsi="Arial" w:cs="Times New Roman"/>
          <w:sz w:val="24"/>
          <w:szCs w:val="24"/>
          <w:lang w:eastAsia="en-GB"/>
        </w:rPr>
        <w:t xml:space="preserve"> the pie charts on page 81 (“Where the money was spent” and “Where the money came from”), members requested that the actual figures be included rather than percentages.</w:t>
      </w:r>
    </w:p>
    <w:p w14:paraId="3E068F80" w14:textId="77777777" w:rsidR="008079D9" w:rsidRPr="008079D9" w:rsidRDefault="008079D9" w:rsidP="008079D9">
      <w:pPr>
        <w:spacing w:after="0" w:line="240" w:lineRule="auto"/>
        <w:rPr>
          <w:rFonts w:ascii="Arial" w:eastAsia="Times New Roman" w:hAnsi="Arial" w:cs="Times New Roman"/>
          <w:sz w:val="24"/>
          <w:szCs w:val="24"/>
          <w:lang w:eastAsia="en-GB"/>
        </w:rPr>
      </w:pPr>
    </w:p>
    <w:p w14:paraId="1CBBEB15" w14:textId="129A931A" w:rsidR="008079D9" w:rsidRPr="008079D9" w:rsidRDefault="008079D9" w:rsidP="008079D9">
      <w:pPr>
        <w:spacing w:after="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4"/>
          <w:lang w:eastAsia="en-GB"/>
        </w:rPr>
        <w:t>1</w:t>
      </w:r>
      <w:r w:rsidR="00F011B6">
        <w:rPr>
          <w:rFonts w:ascii="Arial" w:eastAsia="Times New Roman" w:hAnsi="Arial" w:cs="Times New Roman"/>
          <w:sz w:val="24"/>
          <w:szCs w:val="24"/>
          <w:lang w:eastAsia="en-GB"/>
        </w:rPr>
        <w:t>1</w:t>
      </w:r>
      <w:r>
        <w:rPr>
          <w:rFonts w:ascii="Arial" w:eastAsia="Times New Roman" w:hAnsi="Arial" w:cs="Times New Roman"/>
          <w:sz w:val="24"/>
          <w:szCs w:val="24"/>
          <w:lang w:eastAsia="en-GB"/>
        </w:rPr>
        <w:t>.</w:t>
      </w:r>
      <w:r>
        <w:rPr>
          <w:rFonts w:ascii="Arial" w:eastAsia="Times New Roman" w:hAnsi="Arial" w:cs="Times New Roman"/>
          <w:sz w:val="24"/>
          <w:szCs w:val="24"/>
          <w:lang w:eastAsia="en-GB"/>
        </w:rPr>
        <w:tab/>
      </w:r>
      <w:r w:rsidRPr="008079D9">
        <w:rPr>
          <w:rFonts w:ascii="Arial" w:eastAsia="Times New Roman" w:hAnsi="Arial" w:cs="Times New Roman"/>
          <w:sz w:val="24"/>
          <w:szCs w:val="24"/>
          <w:lang w:eastAsia="en-GB"/>
        </w:rPr>
        <w:t xml:space="preserve">With regard the financial risks identified arising from the Government’s annual financial settlement, Louise Mattinson stressed that the Council was lobbying central government for a </w:t>
      </w:r>
      <w:proofErr w:type="gramStart"/>
      <w:r w:rsidRPr="008079D9">
        <w:rPr>
          <w:rFonts w:ascii="Arial" w:eastAsia="Times New Roman" w:hAnsi="Arial" w:cs="Times New Roman"/>
          <w:sz w:val="24"/>
          <w:szCs w:val="24"/>
          <w:lang w:eastAsia="en-GB"/>
        </w:rPr>
        <w:t>longer term</w:t>
      </w:r>
      <w:proofErr w:type="gramEnd"/>
      <w:r w:rsidRPr="008079D9">
        <w:rPr>
          <w:rFonts w:ascii="Arial" w:eastAsia="Times New Roman" w:hAnsi="Arial" w:cs="Times New Roman"/>
          <w:sz w:val="24"/>
          <w:szCs w:val="24"/>
          <w:lang w:eastAsia="en-GB"/>
        </w:rPr>
        <w:t xml:space="preserve"> financial settlement.</w:t>
      </w:r>
    </w:p>
    <w:p w14:paraId="78AAA95A" w14:textId="70364657" w:rsidR="00EA07C6" w:rsidRDefault="00EA07C6" w:rsidP="00EA07C6">
      <w:pPr>
        <w:spacing w:after="0" w:line="240" w:lineRule="auto"/>
        <w:ind w:left="720" w:hanging="720"/>
        <w:rPr>
          <w:rFonts w:ascii="Arial" w:eastAsia="Times New Roman" w:hAnsi="Arial" w:cs="Times New Roman"/>
          <w:sz w:val="24"/>
          <w:szCs w:val="20"/>
          <w:lang w:eastAsia="en-GB"/>
        </w:rPr>
      </w:pPr>
    </w:p>
    <w:p w14:paraId="4B2E007A" w14:textId="77777777" w:rsidR="007F24CF" w:rsidRPr="007F24CF" w:rsidRDefault="007F24CF" w:rsidP="00EA07C6">
      <w:pPr>
        <w:spacing w:after="0" w:line="240" w:lineRule="auto"/>
        <w:ind w:left="720" w:hanging="720"/>
        <w:rPr>
          <w:rFonts w:ascii="Arial" w:eastAsia="Times New Roman" w:hAnsi="Arial" w:cs="Arial"/>
          <w:sz w:val="24"/>
          <w:szCs w:val="20"/>
          <w:lang w:eastAsia="en-GB"/>
        </w:rPr>
      </w:pPr>
    </w:p>
    <w:p w14:paraId="7352CD79" w14:textId="5001B781" w:rsidR="008079D9" w:rsidRPr="008079D9" w:rsidRDefault="00A66107" w:rsidP="008079D9">
      <w:pPr>
        <w:ind w:left="716" w:hanging="716"/>
        <w:rPr>
          <w:rFonts w:ascii="Arial" w:eastAsia="Times New Roman" w:hAnsi="Arial" w:cs="Times New Roman"/>
          <w:sz w:val="24"/>
          <w:szCs w:val="24"/>
          <w:lang w:eastAsia="en-GB"/>
        </w:rPr>
      </w:pPr>
      <w:r w:rsidRPr="00904811">
        <w:rPr>
          <w:rFonts w:ascii="Arial" w:hAnsi="Arial" w:cs="Arial"/>
          <w:sz w:val="24"/>
          <w:szCs w:val="24"/>
          <w:lang w:eastAsia="en-GB"/>
        </w:rPr>
        <w:t>1</w:t>
      </w:r>
      <w:r w:rsidR="00F011B6">
        <w:rPr>
          <w:rFonts w:ascii="Arial" w:hAnsi="Arial" w:cs="Arial"/>
          <w:sz w:val="24"/>
          <w:szCs w:val="24"/>
          <w:lang w:eastAsia="en-GB"/>
        </w:rPr>
        <w:t>2</w:t>
      </w:r>
      <w:r w:rsidRPr="00904811">
        <w:rPr>
          <w:rFonts w:ascii="Arial" w:hAnsi="Arial" w:cs="Arial"/>
          <w:sz w:val="24"/>
          <w:szCs w:val="24"/>
          <w:lang w:eastAsia="en-GB"/>
        </w:rPr>
        <w:t>.</w:t>
      </w:r>
      <w:r w:rsidR="00904811">
        <w:rPr>
          <w:sz w:val="24"/>
          <w:szCs w:val="24"/>
          <w:lang w:eastAsia="en-GB"/>
        </w:rPr>
        <w:tab/>
      </w:r>
      <w:r w:rsidR="00904811" w:rsidRPr="00904811">
        <w:rPr>
          <w:rFonts w:ascii="Arial" w:eastAsia="Times New Roman" w:hAnsi="Arial" w:cs="Times New Roman"/>
          <w:sz w:val="24"/>
          <w:szCs w:val="20"/>
          <w:lang w:eastAsia="en-GB"/>
        </w:rPr>
        <w:t xml:space="preserve"> </w:t>
      </w:r>
      <w:r w:rsidR="008079D9" w:rsidRPr="008079D9">
        <w:rPr>
          <w:rFonts w:ascii="Arial" w:eastAsia="Times New Roman" w:hAnsi="Arial" w:cs="Times New Roman"/>
          <w:sz w:val="24"/>
          <w:szCs w:val="24"/>
          <w:lang w:eastAsia="en-GB"/>
        </w:rPr>
        <w:t>Arising from a query regarding the financial standing of the council compared to other councils, Louise Mattinson indicated that she would circulate a copy of the CIPFA Resilience Report that provides some comparison between South Ribble BC and it ‘nearest neighbour’ comparators – including Chorley Council. The report was based on the data published by CIPFA for 2021/22 and was presented to the Committee on 23</w:t>
      </w:r>
      <w:r w:rsidR="008079D9" w:rsidRPr="008079D9">
        <w:rPr>
          <w:rFonts w:ascii="Arial" w:eastAsia="Times New Roman" w:hAnsi="Arial" w:cs="Times New Roman"/>
          <w:sz w:val="24"/>
          <w:szCs w:val="24"/>
          <w:vertAlign w:val="superscript"/>
          <w:lang w:eastAsia="en-GB"/>
        </w:rPr>
        <w:t>rd</w:t>
      </w:r>
      <w:r w:rsidR="008079D9" w:rsidRPr="008079D9">
        <w:rPr>
          <w:rFonts w:ascii="Arial" w:eastAsia="Times New Roman" w:hAnsi="Arial" w:cs="Times New Roman"/>
          <w:sz w:val="24"/>
          <w:szCs w:val="24"/>
          <w:lang w:eastAsia="en-GB"/>
        </w:rPr>
        <w:t xml:space="preserve"> May 2023 – the same data was expected for 2022/23 around March/April 2024 which would be brought to Committee for review and information.</w:t>
      </w:r>
    </w:p>
    <w:p w14:paraId="2D28A8F5" w14:textId="77777777" w:rsidR="00904811" w:rsidRPr="00904811" w:rsidRDefault="00904811" w:rsidP="00904811">
      <w:pPr>
        <w:spacing w:after="0" w:line="240" w:lineRule="auto"/>
        <w:rPr>
          <w:rFonts w:ascii="Arial" w:eastAsia="Arial" w:hAnsi="Arial" w:cs="Arial"/>
          <w:sz w:val="24"/>
          <w:szCs w:val="20"/>
          <w:lang w:eastAsia="en-GB"/>
        </w:rPr>
      </w:pPr>
      <w:r w:rsidRPr="00904811">
        <w:rPr>
          <w:rFonts w:ascii="Arial" w:eastAsia="Times New Roman" w:hAnsi="Arial" w:cs="Times New Roman"/>
          <w:sz w:val="24"/>
          <w:szCs w:val="20"/>
          <w:lang w:eastAsia="en-GB"/>
        </w:rPr>
        <w:t> </w:t>
      </w:r>
    </w:p>
    <w:p w14:paraId="54A53880" w14:textId="5ED4C562" w:rsidR="008079D9" w:rsidRPr="008079D9" w:rsidRDefault="0053623C" w:rsidP="008079D9">
      <w:pPr>
        <w:ind w:left="716" w:hanging="716"/>
        <w:rPr>
          <w:rFonts w:ascii="Arial" w:eastAsia="Times New Roman" w:hAnsi="Arial" w:cs="Times New Roman"/>
          <w:sz w:val="24"/>
          <w:szCs w:val="24"/>
          <w:lang w:eastAsia="en-GB"/>
        </w:rPr>
      </w:pPr>
      <w:r>
        <w:rPr>
          <w:rFonts w:ascii="Arial" w:eastAsia="Times New Roman" w:hAnsi="Arial" w:cs="Times New Roman"/>
          <w:sz w:val="24"/>
          <w:szCs w:val="20"/>
          <w:lang w:eastAsia="en-GB"/>
        </w:rPr>
        <w:t>1</w:t>
      </w:r>
      <w:r w:rsidR="00F011B6">
        <w:rPr>
          <w:rFonts w:ascii="Arial" w:eastAsia="Times New Roman" w:hAnsi="Arial" w:cs="Times New Roman"/>
          <w:sz w:val="24"/>
          <w:szCs w:val="20"/>
          <w:lang w:eastAsia="en-GB"/>
        </w:rPr>
        <w:t>3</w:t>
      </w:r>
      <w:r>
        <w:rPr>
          <w:rFonts w:ascii="Arial" w:eastAsia="Times New Roman" w:hAnsi="Arial" w:cs="Times New Roman"/>
          <w:sz w:val="24"/>
          <w:szCs w:val="20"/>
          <w:lang w:eastAsia="en-GB"/>
        </w:rPr>
        <w:t>.</w:t>
      </w:r>
      <w:r>
        <w:rPr>
          <w:rFonts w:ascii="Arial" w:eastAsia="Times New Roman" w:hAnsi="Arial" w:cs="Times New Roman"/>
          <w:sz w:val="24"/>
          <w:szCs w:val="20"/>
          <w:lang w:eastAsia="en-GB"/>
        </w:rPr>
        <w:tab/>
      </w:r>
      <w:r w:rsidR="008079D9" w:rsidRPr="008079D9">
        <w:rPr>
          <w:rFonts w:ascii="Arial" w:eastAsia="Times New Roman" w:hAnsi="Arial" w:cs="Times New Roman"/>
          <w:sz w:val="24"/>
          <w:szCs w:val="24"/>
          <w:lang w:eastAsia="en-GB"/>
        </w:rPr>
        <w:t>It was noted that New Longton had been omitted from the breakdown of geographical areas and would be included in the final report.</w:t>
      </w:r>
    </w:p>
    <w:p w14:paraId="61756150" w14:textId="77777777" w:rsidR="008079D9" w:rsidRPr="008079D9" w:rsidRDefault="008079D9" w:rsidP="008079D9">
      <w:pPr>
        <w:spacing w:after="0" w:line="240" w:lineRule="auto"/>
        <w:rPr>
          <w:rFonts w:ascii="Arial" w:eastAsia="Times New Roman" w:hAnsi="Arial" w:cs="Times New Roman"/>
          <w:sz w:val="24"/>
          <w:szCs w:val="24"/>
          <w:lang w:eastAsia="en-GB"/>
        </w:rPr>
      </w:pPr>
    </w:p>
    <w:p w14:paraId="6F231998" w14:textId="42490AC8" w:rsidR="008079D9" w:rsidRPr="008079D9" w:rsidRDefault="008079D9" w:rsidP="008079D9">
      <w:pPr>
        <w:spacing w:after="0" w:line="240" w:lineRule="auto"/>
        <w:ind w:firstLine="716"/>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The Committee r</w:t>
      </w:r>
      <w:r w:rsidRPr="008079D9">
        <w:rPr>
          <w:rFonts w:ascii="Arial" w:eastAsia="Times New Roman" w:hAnsi="Arial" w:cs="Times New Roman"/>
          <w:b/>
          <w:bCs/>
          <w:sz w:val="24"/>
          <w:szCs w:val="24"/>
          <w:lang w:eastAsia="en-GB"/>
        </w:rPr>
        <w:t>esolved:</w:t>
      </w:r>
    </w:p>
    <w:p w14:paraId="3099CCC3" w14:textId="77777777" w:rsidR="008079D9" w:rsidRPr="008079D9" w:rsidRDefault="008079D9" w:rsidP="008079D9">
      <w:pPr>
        <w:spacing w:after="0" w:line="240" w:lineRule="auto"/>
        <w:rPr>
          <w:rFonts w:ascii="Arial" w:eastAsia="Times New Roman" w:hAnsi="Arial" w:cs="Times New Roman"/>
          <w:sz w:val="24"/>
          <w:szCs w:val="24"/>
          <w:lang w:eastAsia="en-GB"/>
        </w:rPr>
      </w:pPr>
      <w:r w:rsidRPr="008079D9">
        <w:rPr>
          <w:rFonts w:ascii="Arial" w:eastAsia="Times New Roman" w:hAnsi="Arial" w:cs="Times New Roman"/>
          <w:sz w:val="24"/>
          <w:szCs w:val="24"/>
          <w:lang w:eastAsia="en-GB"/>
        </w:rPr>
        <w:t xml:space="preserve"> </w:t>
      </w:r>
    </w:p>
    <w:tbl>
      <w:tblPr>
        <w:tblW w:w="0" w:type="auto"/>
        <w:tblInd w:w="-142" w:type="dxa"/>
        <w:tblLook w:val="04A0" w:firstRow="1" w:lastRow="0" w:firstColumn="1" w:lastColumn="0" w:noHBand="0" w:noVBand="1"/>
      </w:tblPr>
      <w:tblGrid>
        <w:gridCol w:w="9016"/>
      </w:tblGrid>
      <w:tr w:rsidR="008079D9" w:rsidRPr="008079D9" w14:paraId="389D4272" w14:textId="77777777" w:rsidTr="008079D9">
        <w:tc>
          <w:tcPr>
            <w:tcW w:w="9016" w:type="dxa"/>
          </w:tcPr>
          <w:p w14:paraId="17512817" w14:textId="77777777" w:rsidR="008079D9" w:rsidRPr="008079D9" w:rsidRDefault="008079D9" w:rsidP="008079D9">
            <w:pPr>
              <w:numPr>
                <w:ilvl w:val="0"/>
                <w:numId w:val="43"/>
              </w:numPr>
              <w:spacing w:after="0" w:line="240" w:lineRule="auto"/>
              <w:contextualSpacing/>
              <w:rPr>
                <w:rFonts w:eastAsia="Times New Roman" w:cstheme="minorHAnsi"/>
                <w:bCs/>
                <w:iCs/>
                <w:sz w:val="24"/>
                <w:szCs w:val="24"/>
                <w:lang w:eastAsia="en-GB"/>
              </w:rPr>
            </w:pPr>
            <w:r w:rsidRPr="008079D9">
              <w:rPr>
                <w:rFonts w:ascii="Arial" w:eastAsia="Times New Roman" w:hAnsi="Arial" w:cstheme="minorHAnsi"/>
                <w:bCs/>
                <w:iCs/>
                <w:sz w:val="24"/>
                <w:szCs w:val="24"/>
                <w:lang w:eastAsia="en-GB"/>
              </w:rPr>
              <w:t xml:space="preserve">To approve the Statement of Accounts for 2022/23 (Appendix A), subject to any minor amendments identified during the final stages of the completion of the External Audit by Grant Thornton, which, in the opinion of the Director of Finance (Section 151 Officer), are minor in nature, i.e. defined as non-material to the finance position of the </w:t>
            </w:r>
            <w:proofErr w:type="gramStart"/>
            <w:r w:rsidRPr="008079D9">
              <w:rPr>
                <w:rFonts w:ascii="Arial" w:eastAsia="Times New Roman" w:hAnsi="Arial" w:cstheme="minorHAnsi"/>
                <w:bCs/>
                <w:iCs/>
                <w:sz w:val="24"/>
                <w:szCs w:val="24"/>
                <w:lang w:eastAsia="en-GB"/>
              </w:rPr>
              <w:t>council;</w:t>
            </w:r>
            <w:proofErr w:type="gramEnd"/>
          </w:p>
          <w:p w14:paraId="1F7BA644" w14:textId="77777777" w:rsidR="008079D9" w:rsidRPr="008079D9" w:rsidRDefault="008079D9" w:rsidP="008079D9">
            <w:pPr>
              <w:spacing w:after="0" w:line="240" w:lineRule="auto"/>
              <w:ind w:left="597"/>
              <w:rPr>
                <w:rFonts w:ascii="Arial" w:hAnsi="Arial" w:cstheme="minorHAnsi"/>
                <w:bCs/>
                <w:iCs/>
                <w:sz w:val="24"/>
                <w:szCs w:val="24"/>
              </w:rPr>
            </w:pPr>
          </w:p>
          <w:p w14:paraId="65A6431C" w14:textId="77777777" w:rsidR="008079D9" w:rsidRPr="008079D9" w:rsidRDefault="008079D9" w:rsidP="008079D9">
            <w:pPr>
              <w:numPr>
                <w:ilvl w:val="0"/>
                <w:numId w:val="43"/>
              </w:numPr>
              <w:spacing w:after="0" w:line="240" w:lineRule="auto"/>
              <w:ind w:left="597" w:hanging="567"/>
              <w:rPr>
                <w:rFonts w:ascii="Arial" w:hAnsi="Arial" w:cstheme="minorHAnsi"/>
                <w:bCs/>
                <w:iCs/>
                <w:sz w:val="24"/>
                <w:szCs w:val="24"/>
              </w:rPr>
            </w:pPr>
            <w:r w:rsidRPr="008079D9">
              <w:rPr>
                <w:rFonts w:ascii="Arial" w:hAnsi="Arial" w:cstheme="minorHAnsi"/>
                <w:bCs/>
                <w:iCs/>
                <w:sz w:val="24"/>
                <w:szCs w:val="24"/>
              </w:rPr>
              <w:t xml:space="preserve">To delegate authority to the Director of Finance, in consultation with the Chair of the Governance Committee, to make such </w:t>
            </w:r>
            <w:proofErr w:type="gramStart"/>
            <w:r w:rsidRPr="008079D9">
              <w:rPr>
                <w:rFonts w:ascii="Arial" w:hAnsi="Arial" w:cstheme="minorHAnsi"/>
                <w:bCs/>
                <w:iCs/>
                <w:sz w:val="24"/>
                <w:szCs w:val="24"/>
              </w:rPr>
              <w:t>amendments;</w:t>
            </w:r>
            <w:proofErr w:type="gramEnd"/>
          </w:p>
          <w:p w14:paraId="36698328" w14:textId="77777777" w:rsidR="008079D9" w:rsidRPr="008079D9" w:rsidRDefault="008079D9" w:rsidP="008079D9">
            <w:pPr>
              <w:spacing w:after="0" w:line="252" w:lineRule="auto"/>
              <w:ind w:left="720"/>
              <w:contextualSpacing/>
              <w:rPr>
                <w:rFonts w:ascii="Arial" w:hAnsi="Arial" w:cstheme="minorHAnsi"/>
                <w:bCs/>
                <w:iCs/>
                <w:sz w:val="24"/>
                <w:szCs w:val="24"/>
              </w:rPr>
            </w:pPr>
          </w:p>
          <w:p w14:paraId="08D96449" w14:textId="77777777" w:rsidR="008079D9" w:rsidRPr="008079D9" w:rsidRDefault="008079D9" w:rsidP="008079D9">
            <w:pPr>
              <w:numPr>
                <w:ilvl w:val="0"/>
                <w:numId w:val="43"/>
              </w:numPr>
              <w:spacing w:after="0" w:line="240" w:lineRule="auto"/>
              <w:ind w:left="597" w:hanging="567"/>
              <w:rPr>
                <w:rFonts w:ascii="Arial" w:hAnsi="Arial" w:cstheme="minorHAnsi"/>
                <w:bCs/>
                <w:iCs/>
                <w:sz w:val="24"/>
                <w:szCs w:val="24"/>
              </w:rPr>
            </w:pPr>
            <w:r w:rsidRPr="008079D9">
              <w:rPr>
                <w:rFonts w:ascii="Arial" w:hAnsi="Arial" w:cstheme="minorHAnsi"/>
                <w:bCs/>
                <w:iCs/>
                <w:sz w:val="24"/>
                <w:szCs w:val="24"/>
              </w:rPr>
              <w:t xml:space="preserve">If amendments are identified during the final stages of the completion of the External Audit by Grant Thornton, which the Director of Finance considers to be material to the financial position of the council, the Governance Committee will be reconvened to approve the new Statement of </w:t>
            </w:r>
            <w:proofErr w:type="gramStart"/>
            <w:r w:rsidRPr="008079D9">
              <w:rPr>
                <w:rFonts w:ascii="Arial" w:hAnsi="Arial" w:cstheme="minorHAnsi"/>
                <w:bCs/>
                <w:iCs/>
                <w:sz w:val="24"/>
                <w:szCs w:val="24"/>
              </w:rPr>
              <w:t>Accounts;</w:t>
            </w:r>
            <w:proofErr w:type="gramEnd"/>
          </w:p>
          <w:p w14:paraId="16E8F454" w14:textId="77777777" w:rsidR="008079D9" w:rsidRPr="008079D9" w:rsidRDefault="008079D9" w:rsidP="008079D9">
            <w:pPr>
              <w:spacing w:after="0" w:line="252" w:lineRule="auto"/>
              <w:ind w:left="720"/>
              <w:contextualSpacing/>
              <w:rPr>
                <w:rFonts w:ascii="Arial" w:hAnsi="Arial" w:cstheme="minorHAnsi"/>
                <w:bCs/>
                <w:iCs/>
                <w:sz w:val="24"/>
                <w:szCs w:val="24"/>
              </w:rPr>
            </w:pPr>
          </w:p>
          <w:p w14:paraId="01F1E9A6" w14:textId="77777777" w:rsidR="008079D9" w:rsidRPr="008079D9" w:rsidRDefault="008079D9" w:rsidP="008079D9">
            <w:pPr>
              <w:numPr>
                <w:ilvl w:val="0"/>
                <w:numId w:val="43"/>
              </w:numPr>
              <w:spacing w:after="0" w:line="240" w:lineRule="auto"/>
              <w:ind w:left="597" w:hanging="567"/>
              <w:rPr>
                <w:rFonts w:ascii="Arial" w:hAnsi="Arial" w:cstheme="minorHAnsi"/>
                <w:bCs/>
                <w:iCs/>
                <w:sz w:val="24"/>
                <w:szCs w:val="24"/>
              </w:rPr>
            </w:pPr>
            <w:r w:rsidRPr="008079D9">
              <w:rPr>
                <w:rFonts w:ascii="Arial" w:hAnsi="Arial" w:cstheme="minorHAnsi"/>
                <w:bCs/>
                <w:iCs/>
                <w:sz w:val="24"/>
                <w:szCs w:val="24"/>
              </w:rPr>
              <w:t>To authorise the Director of Finance and Chair of Governance Committee to sign the Letter of Representation (Appendix B).</w:t>
            </w:r>
          </w:p>
        </w:tc>
      </w:tr>
    </w:tbl>
    <w:p w14:paraId="040AF1A7" w14:textId="77777777" w:rsidR="008079D9" w:rsidRPr="008079D9" w:rsidRDefault="008079D9" w:rsidP="008079D9">
      <w:pPr>
        <w:spacing w:after="0" w:line="240" w:lineRule="auto"/>
        <w:jc w:val="both"/>
        <w:rPr>
          <w:rFonts w:eastAsia="Times New Roman" w:cstheme="minorHAnsi"/>
          <w:bCs/>
          <w:iCs/>
          <w:sz w:val="24"/>
          <w:szCs w:val="24"/>
        </w:rPr>
      </w:pPr>
    </w:p>
    <w:p w14:paraId="32E53CCE" w14:textId="30E5E4D5" w:rsidR="008079D9" w:rsidRPr="008079D9" w:rsidRDefault="00A35F94" w:rsidP="008079D9">
      <w:pPr>
        <w:spacing w:after="0" w:line="240" w:lineRule="auto"/>
        <w:rPr>
          <w:rFonts w:ascii="Arial" w:eastAsia="Times New Roman" w:hAnsi="Arial" w:cs="Times New Roman"/>
          <w:b/>
          <w:bCs/>
          <w:sz w:val="24"/>
          <w:szCs w:val="24"/>
          <w:lang w:eastAsia="en-GB"/>
        </w:rPr>
      </w:pPr>
      <w:r w:rsidRPr="00A35F94">
        <w:rPr>
          <w:rFonts w:ascii="Arial" w:eastAsia="Times New Roman" w:hAnsi="Arial" w:cs="Times New Roman"/>
          <w:b/>
          <w:bCs/>
          <w:sz w:val="24"/>
          <w:szCs w:val="24"/>
          <w:lang w:eastAsia="en-GB"/>
        </w:rPr>
        <w:t xml:space="preserve">Treasury Management </w:t>
      </w:r>
      <w:proofErr w:type="spellStart"/>
      <w:r w:rsidRPr="00A35F94">
        <w:rPr>
          <w:rFonts w:ascii="Arial" w:eastAsia="Times New Roman" w:hAnsi="Arial" w:cs="Times New Roman"/>
          <w:b/>
          <w:bCs/>
          <w:sz w:val="24"/>
          <w:szCs w:val="24"/>
          <w:lang w:eastAsia="en-GB"/>
        </w:rPr>
        <w:t>Mid Year</w:t>
      </w:r>
      <w:proofErr w:type="spellEnd"/>
      <w:r w:rsidRPr="00A35F94">
        <w:rPr>
          <w:rFonts w:ascii="Arial" w:eastAsia="Times New Roman" w:hAnsi="Arial" w:cs="Times New Roman"/>
          <w:b/>
          <w:bCs/>
          <w:sz w:val="24"/>
          <w:szCs w:val="24"/>
          <w:lang w:eastAsia="en-GB"/>
        </w:rPr>
        <w:t xml:space="preserve"> Review 2023/24</w:t>
      </w:r>
    </w:p>
    <w:p w14:paraId="273222C6" w14:textId="77777777" w:rsidR="00904811" w:rsidRPr="00904811" w:rsidRDefault="00904811" w:rsidP="00904811">
      <w:pPr>
        <w:spacing w:after="0" w:line="240" w:lineRule="auto"/>
        <w:rPr>
          <w:rFonts w:ascii="Arial" w:eastAsia="Arial" w:hAnsi="Arial" w:cs="Arial"/>
          <w:sz w:val="24"/>
          <w:szCs w:val="20"/>
          <w:lang w:eastAsia="en-GB"/>
        </w:rPr>
      </w:pPr>
      <w:r w:rsidRPr="00904811">
        <w:rPr>
          <w:rFonts w:ascii="Arial" w:eastAsia="Times New Roman" w:hAnsi="Arial" w:cs="Times New Roman"/>
          <w:sz w:val="24"/>
          <w:szCs w:val="20"/>
          <w:lang w:eastAsia="en-GB"/>
        </w:rPr>
        <w:t> </w:t>
      </w:r>
    </w:p>
    <w:p w14:paraId="179FC021" w14:textId="496CDD69" w:rsidR="00A66107" w:rsidRDefault="00A66107" w:rsidP="00AE3BBF">
      <w:pPr>
        <w:pStyle w:val="pNormal3"/>
        <w:ind w:left="720" w:hanging="720"/>
        <w:rPr>
          <w:lang w:val="en-GB" w:eastAsia="en-GB"/>
        </w:rPr>
      </w:pPr>
      <w:r>
        <w:rPr>
          <w:sz w:val="24"/>
          <w:szCs w:val="24"/>
          <w:lang w:val="en-GB" w:eastAsia="en-GB"/>
        </w:rPr>
        <w:tab/>
      </w:r>
    </w:p>
    <w:p w14:paraId="1EEF896C" w14:textId="130D8F08" w:rsidR="00A35F94" w:rsidRPr="00A35F94" w:rsidRDefault="00A66107" w:rsidP="00A35F94">
      <w:pPr>
        <w:ind w:left="720" w:hanging="720"/>
        <w:rPr>
          <w:rFonts w:ascii="Arial" w:eastAsia="Times New Roman" w:hAnsi="Arial" w:cs="Times New Roman"/>
          <w:sz w:val="24"/>
          <w:szCs w:val="24"/>
          <w:lang w:eastAsia="en-GB"/>
        </w:rPr>
      </w:pPr>
      <w:r w:rsidRPr="00AF12A8">
        <w:rPr>
          <w:rFonts w:ascii="Arial" w:hAnsi="Arial" w:cs="Arial"/>
          <w:color w:val="000000"/>
          <w:sz w:val="24"/>
          <w:szCs w:val="24"/>
          <w:lang w:eastAsia="en-GB"/>
        </w:rPr>
        <w:t>1</w:t>
      </w:r>
      <w:r w:rsidR="00F011B6">
        <w:rPr>
          <w:rFonts w:ascii="Arial" w:hAnsi="Arial" w:cs="Arial"/>
          <w:color w:val="000000"/>
          <w:sz w:val="24"/>
          <w:szCs w:val="24"/>
          <w:lang w:eastAsia="en-GB"/>
        </w:rPr>
        <w:t>4</w:t>
      </w:r>
      <w:r>
        <w:rPr>
          <w:color w:val="000000"/>
          <w:sz w:val="24"/>
          <w:szCs w:val="24"/>
          <w:lang w:eastAsia="en-GB"/>
        </w:rPr>
        <w:t>.</w:t>
      </w:r>
      <w:r>
        <w:rPr>
          <w:color w:val="000000"/>
          <w:sz w:val="24"/>
          <w:szCs w:val="24"/>
          <w:lang w:eastAsia="en-GB"/>
        </w:rPr>
        <w:tab/>
      </w:r>
      <w:r>
        <w:rPr>
          <w:color w:val="000000"/>
        </w:rPr>
        <w:t xml:space="preserve"> </w:t>
      </w:r>
      <w:r w:rsidR="00A35F94" w:rsidRPr="00A35F94">
        <w:rPr>
          <w:rFonts w:ascii="Arial" w:eastAsia="Times New Roman" w:hAnsi="Arial" w:cs="Times New Roman"/>
          <w:sz w:val="24"/>
          <w:szCs w:val="24"/>
          <w:lang w:eastAsia="en-GB"/>
        </w:rPr>
        <w:t xml:space="preserve">Jean Waddington, Principal Financial Accountant presented a report of the Director of Finance on Treasury Management performance and compliance with Prudential Indicators for the period end 30 September 2023.  </w:t>
      </w:r>
    </w:p>
    <w:p w14:paraId="6677A5C3" w14:textId="77777777" w:rsidR="00A35F94" w:rsidRPr="00A35F94" w:rsidRDefault="00A35F94" w:rsidP="00A35F94">
      <w:pPr>
        <w:spacing w:after="0" w:line="240" w:lineRule="auto"/>
        <w:rPr>
          <w:rFonts w:ascii="Arial" w:eastAsia="Times New Roman" w:hAnsi="Arial" w:cs="Times New Roman"/>
          <w:sz w:val="24"/>
          <w:szCs w:val="24"/>
          <w:lang w:eastAsia="en-GB"/>
        </w:rPr>
      </w:pPr>
    </w:p>
    <w:p w14:paraId="171F0628" w14:textId="2A787FC6" w:rsidR="00A35F94" w:rsidRPr="00A35F94" w:rsidRDefault="00A35F94" w:rsidP="00A35F94">
      <w:pPr>
        <w:pBdr>
          <w:top w:val="single" w:sz="2" w:space="0" w:color="FFFFFF"/>
          <w:left w:val="single" w:sz="2" w:space="0" w:color="FFFFFF"/>
          <w:bottom w:val="single" w:sz="2" w:space="2" w:color="FFFFFF"/>
          <w:right w:val="single" w:sz="2" w:space="4" w:color="FFFFFF"/>
        </w:pBdr>
        <w:spacing w:after="0" w:line="240" w:lineRule="auto"/>
        <w:ind w:left="720" w:right="141" w:hanging="720"/>
        <w:jc w:val="both"/>
        <w:rPr>
          <w:rFonts w:ascii="Arial" w:eastAsia="Times New Roman" w:hAnsi="Arial" w:cstheme="minorHAnsi"/>
          <w:sz w:val="24"/>
          <w:szCs w:val="24"/>
          <w:lang w:eastAsia="en-GB"/>
        </w:rPr>
      </w:pPr>
      <w:r>
        <w:rPr>
          <w:rFonts w:ascii="Arial" w:eastAsia="Times New Roman" w:hAnsi="Arial" w:cs="Times New Roman"/>
          <w:sz w:val="24"/>
          <w:szCs w:val="24"/>
          <w:lang w:eastAsia="en-GB"/>
        </w:rPr>
        <w:t>1</w:t>
      </w:r>
      <w:r w:rsidR="00F011B6">
        <w:rPr>
          <w:rFonts w:ascii="Arial" w:eastAsia="Times New Roman" w:hAnsi="Arial" w:cs="Times New Roman"/>
          <w:sz w:val="24"/>
          <w:szCs w:val="24"/>
          <w:lang w:eastAsia="en-GB"/>
        </w:rPr>
        <w:t>5</w:t>
      </w:r>
      <w:r>
        <w:rPr>
          <w:rFonts w:ascii="Arial" w:eastAsia="Times New Roman" w:hAnsi="Arial" w:cs="Times New Roman"/>
          <w:sz w:val="24"/>
          <w:szCs w:val="24"/>
          <w:lang w:eastAsia="en-GB"/>
        </w:rPr>
        <w:t>.</w:t>
      </w:r>
      <w:r>
        <w:rPr>
          <w:rFonts w:ascii="Arial" w:eastAsia="Times New Roman" w:hAnsi="Arial" w:cs="Times New Roman"/>
          <w:sz w:val="24"/>
          <w:szCs w:val="24"/>
          <w:lang w:eastAsia="en-GB"/>
        </w:rPr>
        <w:tab/>
      </w:r>
      <w:r w:rsidRPr="00A35F94">
        <w:rPr>
          <w:rFonts w:ascii="Arial" w:eastAsia="Times New Roman" w:hAnsi="Arial" w:cs="Times New Roman"/>
          <w:sz w:val="24"/>
          <w:szCs w:val="24"/>
          <w:lang w:eastAsia="en-GB"/>
        </w:rPr>
        <w:t xml:space="preserve">The report also </w:t>
      </w:r>
      <w:r w:rsidRPr="00A35F94">
        <w:rPr>
          <w:rFonts w:ascii="Arial" w:eastAsia="Times New Roman" w:hAnsi="Arial" w:cstheme="minorHAnsi"/>
          <w:sz w:val="24"/>
          <w:szCs w:val="24"/>
          <w:lang w:eastAsia="en-GB"/>
        </w:rPr>
        <w:t>presented monitoring figures for the quarter ended 30</w:t>
      </w:r>
      <w:r w:rsidRPr="00A35F94">
        <w:rPr>
          <w:rFonts w:ascii="Arial" w:eastAsia="Times New Roman" w:hAnsi="Arial" w:cstheme="minorHAnsi"/>
          <w:sz w:val="24"/>
          <w:szCs w:val="24"/>
          <w:vertAlign w:val="superscript"/>
          <w:lang w:eastAsia="en-GB"/>
        </w:rPr>
        <w:t>th</w:t>
      </w:r>
      <w:r w:rsidRPr="00A35F94">
        <w:rPr>
          <w:rFonts w:ascii="Arial" w:eastAsia="Times New Roman" w:hAnsi="Arial" w:cstheme="minorHAnsi"/>
          <w:sz w:val="24"/>
          <w:szCs w:val="24"/>
          <w:lang w:eastAsia="en-GB"/>
        </w:rPr>
        <w:t xml:space="preserve"> September 2023, including updated interest rate forecasts from Link Asset Services.</w:t>
      </w:r>
    </w:p>
    <w:p w14:paraId="1C3BD79E" w14:textId="77777777" w:rsidR="00A35F94" w:rsidRPr="00A35F94" w:rsidRDefault="00A35F94" w:rsidP="00A35F94">
      <w:pPr>
        <w:pBdr>
          <w:top w:val="single" w:sz="2" w:space="0" w:color="FFFFFF"/>
          <w:left w:val="single" w:sz="2" w:space="0" w:color="FFFFFF"/>
          <w:bottom w:val="single" w:sz="2" w:space="2" w:color="FFFFFF"/>
          <w:right w:val="single" w:sz="2" w:space="4" w:color="FFFFFF"/>
        </w:pBdr>
        <w:spacing w:after="0" w:line="240" w:lineRule="auto"/>
        <w:ind w:right="141"/>
        <w:jc w:val="both"/>
        <w:rPr>
          <w:rFonts w:ascii="Arial" w:eastAsia="Times New Roman" w:hAnsi="Arial" w:cstheme="minorHAnsi"/>
          <w:sz w:val="24"/>
          <w:szCs w:val="24"/>
          <w:lang w:eastAsia="en-GB"/>
        </w:rPr>
      </w:pPr>
    </w:p>
    <w:p w14:paraId="3ECB8CE2" w14:textId="54AE8DCB" w:rsidR="00A35F94" w:rsidRPr="00A35F94" w:rsidRDefault="00A35F94" w:rsidP="00A35F94">
      <w:pPr>
        <w:pBdr>
          <w:top w:val="single" w:sz="2" w:space="0" w:color="FFFFFF"/>
          <w:left w:val="single" w:sz="2" w:space="0" w:color="FFFFFF"/>
          <w:bottom w:val="single" w:sz="2" w:space="2" w:color="FFFFFF"/>
          <w:right w:val="single" w:sz="2" w:space="4" w:color="FFFFFF"/>
        </w:pBdr>
        <w:spacing w:after="0" w:line="240" w:lineRule="auto"/>
        <w:ind w:right="141"/>
        <w:jc w:val="both"/>
        <w:rPr>
          <w:rFonts w:ascii="Arial" w:eastAsia="Times New Roman" w:hAnsi="Arial" w:cstheme="minorHAnsi"/>
          <w:sz w:val="24"/>
          <w:szCs w:val="24"/>
          <w:lang w:eastAsia="en-GB"/>
        </w:rPr>
      </w:pPr>
      <w:r w:rsidRPr="00A35F94">
        <w:rPr>
          <w:rFonts w:ascii="Arial" w:eastAsia="Times New Roman" w:hAnsi="Arial" w:cstheme="minorHAnsi"/>
          <w:sz w:val="24"/>
          <w:szCs w:val="24"/>
          <w:lang w:eastAsia="en-GB"/>
        </w:rPr>
        <w:t>1</w:t>
      </w:r>
      <w:r w:rsidR="00F011B6">
        <w:rPr>
          <w:rFonts w:ascii="Arial" w:eastAsia="Times New Roman" w:hAnsi="Arial" w:cstheme="minorHAnsi"/>
          <w:sz w:val="24"/>
          <w:szCs w:val="24"/>
          <w:lang w:eastAsia="en-GB"/>
        </w:rPr>
        <w:t>6</w:t>
      </w:r>
      <w:r w:rsidRPr="00A35F94">
        <w:rPr>
          <w:rFonts w:ascii="Arial" w:eastAsia="Times New Roman" w:hAnsi="Arial" w:cstheme="minorHAnsi"/>
          <w:sz w:val="24"/>
          <w:szCs w:val="24"/>
          <w:lang w:eastAsia="en-GB"/>
        </w:rPr>
        <w:t>.</w:t>
      </w:r>
      <w:r>
        <w:rPr>
          <w:rFonts w:ascii="Arial" w:eastAsia="Times New Roman" w:hAnsi="Arial" w:cstheme="minorHAnsi"/>
          <w:b/>
          <w:bCs/>
          <w:sz w:val="24"/>
          <w:szCs w:val="24"/>
          <w:lang w:eastAsia="en-GB"/>
        </w:rPr>
        <w:tab/>
      </w:r>
      <w:r w:rsidRPr="00A35F94">
        <w:rPr>
          <w:rFonts w:ascii="Arial" w:eastAsia="Times New Roman" w:hAnsi="Arial" w:cstheme="minorHAnsi"/>
          <w:sz w:val="24"/>
          <w:szCs w:val="24"/>
          <w:lang w:eastAsia="en-GB"/>
        </w:rPr>
        <w:t>The Committee resolved</w:t>
      </w:r>
      <w:r>
        <w:rPr>
          <w:rFonts w:ascii="Arial" w:eastAsia="Times New Roman" w:hAnsi="Arial" w:cstheme="minorHAnsi"/>
          <w:b/>
          <w:bCs/>
          <w:sz w:val="24"/>
          <w:szCs w:val="24"/>
          <w:lang w:eastAsia="en-GB"/>
        </w:rPr>
        <w:t xml:space="preserve"> </w:t>
      </w:r>
      <w:r>
        <w:rPr>
          <w:rFonts w:ascii="Arial" w:eastAsia="Times New Roman" w:hAnsi="Arial" w:cstheme="minorHAnsi"/>
          <w:sz w:val="24"/>
          <w:szCs w:val="24"/>
          <w:lang w:eastAsia="en-GB"/>
        </w:rPr>
        <w:t>t</w:t>
      </w:r>
      <w:r w:rsidRPr="00A35F94">
        <w:rPr>
          <w:rFonts w:ascii="Arial" w:eastAsia="Times New Roman" w:hAnsi="Arial" w:cstheme="minorHAnsi"/>
          <w:sz w:val="24"/>
          <w:szCs w:val="24"/>
          <w:lang w:eastAsia="en-GB"/>
        </w:rPr>
        <w:t>hat the report be noted.</w:t>
      </w:r>
    </w:p>
    <w:p w14:paraId="21E894B1" w14:textId="77777777" w:rsidR="00A35F94" w:rsidRPr="00A35F94" w:rsidRDefault="00A35F94" w:rsidP="00A35F94">
      <w:pPr>
        <w:pBdr>
          <w:top w:val="single" w:sz="2" w:space="0" w:color="FFFFFF"/>
          <w:left w:val="single" w:sz="2" w:space="0" w:color="FFFFFF"/>
          <w:bottom w:val="single" w:sz="2" w:space="2" w:color="FFFFFF"/>
          <w:right w:val="single" w:sz="2" w:space="4" w:color="FFFFFF"/>
        </w:pBdr>
        <w:spacing w:after="0" w:line="240" w:lineRule="auto"/>
        <w:ind w:right="141"/>
        <w:jc w:val="both"/>
        <w:rPr>
          <w:rFonts w:ascii="Arial" w:eastAsia="Times New Roman" w:hAnsi="Arial" w:cstheme="minorHAnsi"/>
          <w:sz w:val="24"/>
          <w:szCs w:val="24"/>
          <w:lang w:eastAsia="en-GB"/>
        </w:rPr>
      </w:pPr>
    </w:p>
    <w:p w14:paraId="729D14ED" w14:textId="77777777" w:rsidR="00A35F94" w:rsidRPr="00A35F94" w:rsidRDefault="00A35F94" w:rsidP="00A35F94">
      <w:pPr>
        <w:pBdr>
          <w:top w:val="single" w:sz="2" w:space="0" w:color="FFFFFF"/>
          <w:left w:val="single" w:sz="2" w:space="0" w:color="FFFFFF"/>
          <w:bottom w:val="single" w:sz="2" w:space="2" w:color="FFFFFF"/>
          <w:right w:val="single" w:sz="2" w:space="4" w:color="FFFFFF"/>
        </w:pBdr>
        <w:spacing w:after="0" w:line="240" w:lineRule="auto"/>
        <w:ind w:right="141"/>
        <w:jc w:val="both"/>
        <w:rPr>
          <w:rFonts w:eastAsia="Times New Roman" w:cstheme="minorHAnsi"/>
          <w:b/>
          <w:bCs/>
          <w:lang w:eastAsia="en-GB"/>
        </w:rPr>
      </w:pPr>
    </w:p>
    <w:p w14:paraId="6B6C7667" w14:textId="0A4F91AC" w:rsidR="00AF12A8" w:rsidRPr="006F07BC" w:rsidRDefault="006F07BC" w:rsidP="00AF12A8">
      <w:pPr>
        <w:ind w:left="716" w:hanging="716"/>
        <w:rPr>
          <w:rFonts w:ascii="Arial" w:eastAsia="Arial" w:hAnsi="Arial" w:cs="Arial"/>
          <w:b/>
          <w:bCs/>
          <w:sz w:val="24"/>
          <w:szCs w:val="20"/>
          <w:lang w:eastAsia="en-GB"/>
        </w:rPr>
      </w:pPr>
      <w:r w:rsidRPr="006F07BC">
        <w:rPr>
          <w:rFonts w:ascii="Arial" w:eastAsia="Arial" w:hAnsi="Arial" w:cs="Arial"/>
          <w:b/>
          <w:bCs/>
          <w:sz w:val="24"/>
          <w:szCs w:val="20"/>
          <w:lang w:eastAsia="en-GB"/>
        </w:rPr>
        <w:t>Constitution Update</w:t>
      </w:r>
    </w:p>
    <w:p w14:paraId="3B074E85" w14:textId="77777777" w:rsidR="00AF12A8" w:rsidRPr="00AF12A8" w:rsidRDefault="00AF12A8" w:rsidP="00AF12A8">
      <w:pPr>
        <w:spacing w:after="0" w:line="240" w:lineRule="auto"/>
        <w:rPr>
          <w:rFonts w:ascii="Arial" w:eastAsia="Arial" w:hAnsi="Arial" w:cs="Arial"/>
          <w:sz w:val="24"/>
          <w:szCs w:val="20"/>
          <w:lang w:eastAsia="en-GB"/>
        </w:rPr>
      </w:pPr>
      <w:r w:rsidRPr="00AF12A8">
        <w:rPr>
          <w:rFonts w:ascii="Arial" w:eastAsia="Times New Roman" w:hAnsi="Arial" w:cs="Times New Roman"/>
          <w:sz w:val="24"/>
          <w:szCs w:val="20"/>
          <w:lang w:eastAsia="en-GB"/>
        </w:rPr>
        <w:t> </w:t>
      </w:r>
    </w:p>
    <w:p w14:paraId="2FBA7343" w14:textId="78106631" w:rsidR="00841CB6" w:rsidRPr="00841CB6" w:rsidRDefault="00AF12A8" w:rsidP="00841CB6">
      <w:pPr>
        <w:ind w:left="716" w:hanging="716"/>
        <w:rPr>
          <w:rFonts w:ascii="Arial" w:eastAsia="Times New Roman" w:hAnsi="Arial" w:cs="Times New Roman"/>
          <w:sz w:val="24"/>
          <w:szCs w:val="24"/>
          <w:lang w:eastAsia="en-GB"/>
        </w:rPr>
      </w:pPr>
      <w:r>
        <w:rPr>
          <w:rFonts w:ascii="Arial" w:eastAsia="Times New Roman" w:hAnsi="Arial" w:cs="Times New Roman"/>
          <w:sz w:val="24"/>
          <w:szCs w:val="20"/>
          <w:lang w:eastAsia="en-GB"/>
        </w:rPr>
        <w:t>1</w:t>
      </w:r>
      <w:r w:rsidR="00F011B6">
        <w:rPr>
          <w:rFonts w:ascii="Arial" w:eastAsia="Times New Roman" w:hAnsi="Arial" w:cs="Times New Roman"/>
          <w:sz w:val="24"/>
          <w:szCs w:val="20"/>
          <w:lang w:eastAsia="en-GB"/>
        </w:rPr>
        <w:t>7</w:t>
      </w:r>
      <w:r>
        <w:rPr>
          <w:rFonts w:ascii="Arial" w:eastAsia="Times New Roman" w:hAnsi="Arial" w:cs="Times New Roman"/>
          <w:sz w:val="24"/>
          <w:szCs w:val="20"/>
          <w:lang w:eastAsia="en-GB"/>
        </w:rPr>
        <w:t>.</w:t>
      </w:r>
      <w:r>
        <w:rPr>
          <w:rFonts w:ascii="Arial" w:eastAsia="Times New Roman" w:hAnsi="Arial" w:cs="Times New Roman"/>
          <w:sz w:val="24"/>
          <w:szCs w:val="20"/>
          <w:lang w:eastAsia="en-GB"/>
        </w:rPr>
        <w:tab/>
      </w:r>
      <w:r w:rsidR="00841CB6" w:rsidRPr="00841CB6">
        <w:rPr>
          <w:rFonts w:ascii="Arial" w:eastAsia="Times New Roman" w:hAnsi="Arial" w:cs="Times New Roman"/>
          <w:sz w:val="24"/>
          <w:szCs w:val="24"/>
          <w:lang w:eastAsia="en-GB"/>
        </w:rPr>
        <w:t xml:space="preserve">The Director of governance, Chris Moister, presented a report informing members </w:t>
      </w:r>
      <w:proofErr w:type="gramStart"/>
      <w:r w:rsidR="00841CB6" w:rsidRPr="00841CB6">
        <w:rPr>
          <w:rFonts w:ascii="Arial" w:eastAsia="Times New Roman" w:hAnsi="Arial" w:cs="Times New Roman"/>
          <w:sz w:val="24"/>
          <w:szCs w:val="24"/>
          <w:lang w:eastAsia="en-GB"/>
        </w:rPr>
        <w:t>of  proposed</w:t>
      </w:r>
      <w:proofErr w:type="gramEnd"/>
      <w:r w:rsidR="00841CB6" w:rsidRPr="00841CB6">
        <w:rPr>
          <w:rFonts w:ascii="Arial" w:eastAsia="Times New Roman" w:hAnsi="Arial" w:cs="Times New Roman"/>
          <w:sz w:val="24"/>
          <w:szCs w:val="24"/>
          <w:lang w:eastAsia="en-GB"/>
        </w:rPr>
        <w:t xml:space="preserve"> and consequential amendments to Part 2: Governance – how we run the Council and decisions in the Council’s Constitution.</w:t>
      </w:r>
    </w:p>
    <w:p w14:paraId="225C1CF5" w14:textId="1EE4A244" w:rsidR="00AF12A8" w:rsidRPr="00AF12A8" w:rsidRDefault="00AF12A8" w:rsidP="00AF12A8">
      <w:pPr>
        <w:spacing w:after="0" w:line="240" w:lineRule="auto"/>
        <w:ind w:left="716" w:hanging="716"/>
        <w:rPr>
          <w:rFonts w:ascii="Arial" w:eastAsia="Arial" w:hAnsi="Arial" w:cs="Arial"/>
          <w:sz w:val="24"/>
          <w:szCs w:val="20"/>
          <w:lang w:eastAsia="en-GB"/>
        </w:rPr>
      </w:pPr>
    </w:p>
    <w:p w14:paraId="42CFB846" w14:textId="77777777" w:rsidR="00AF12A8" w:rsidRPr="00AF12A8" w:rsidRDefault="00AF12A8" w:rsidP="00AF12A8">
      <w:pPr>
        <w:spacing w:after="0" w:line="240" w:lineRule="auto"/>
        <w:rPr>
          <w:rFonts w:ascii="Arial" w:eastAsia="Arial" w:hAnsi="Arial" w:cs="Arial"/>
          <w:sz w:val="24"/>
          <w:szCs w:val="20"/>
          <w:lang w:eastAsia="en-GB"/>
        </w:rPr>
      </w:pPr>
      <w:r w:rsidRPr="00AF12A8">
        <w:rPr>
          <w:rFonts w:ascii="Arial" w:eastAsia="Times New Roman" w:hAnsi="Arial" w:cs="Times New Roman"/>
          <w:sz w:val="24"/>
          <w:szCs w:val="20"/>
          <w:lang w:eastAsia="en-GB"/>
        </w:rPr>
        <w:t> </w:t>
      </w:r>
    </w:p>
    <w:p w14:paraId="01E765F5" w14:textId="6D9B698B" w:rsidR="00841CB6" w:rsidRPr="00841CB6" w:rsidRDefault="00AF12A8" w:rsidP="00841CB6">
      <w:pPr>
        <w:ind w:left="716" w:hanging="716"/>
        <w:rPr>
          <w:rFonts w:ascii="Arial" w:eastAsia="Times New Roman" w:hAnsi="Arial" w:cs="Times New Roman"/>
          <w:sz w:val="24"/>
          <w:szCs w:val="24"/>
          <w:lang w:eastAsia="en-GB"/>
        </w:rPr>
      </w:pPr>
      <w:r>
        <w:rPr>
          <w:rFonts w:ascii="Arial" w:eastAsia="Times New Roman" w:hAnsi="Arial" w:cs="Times New Roman"/>
          <w:sz w:val="24"/>
          <w:szCs w:val="20"/>
          <w:lang w:eastAsia="en-GB"/>
        </w:rPr>
        <w:t>1</w:t>
      </w:r>
      <w:r w:rsidR="00F011B6">
        <w:rPr>
          <w:rFonts w:ascii="Arial" w:eastAsia="Times New Roman" w:hAnsi="Arial" w:cs="Times New Roman"/>
          <w:sz w:val="24"/>
          <w:szCs w:val="20"/>
          <w:lang w:eastAsia="en-GB"/>
        </w:rPr>
        <w:t>8</w:t>
      </w:r>
      <w:r>
        <w:rPr>
          <w:rFonts w:ascii="Arial" w:eastAsia="Times New Roman" w:hAnsi="Arial" w:cs="Times New Roman"/>
          <w:sz w:val="24"/>
          <w:szCs w:val="20"/>
          <w:lang w:eastAsia="en-GB"/>
        </w:rPr>
        <w:t>.</w:t>
      </w:r>
      <w:r>
        <w:rPr>
          <w:rFonts w:ascii="Arial" w:eastAsia="Times New Roman" w:hAnsi="Arial" w:cs="Times New Roman"/>
          <w:sz w:val="24"/>
          <w:szCs w:val="20"/>
          <w:lang w:eastAsia="en-GB"/>
        </w:rPr>
        <w:tab/>
      </w:r>
      <w:r w:rsidR="00841CB6" w:rsidRPr="00841CB6">
        <w:rPr>
          <w:rFonts w:ascii="Arial" w:eastAsia="Times New Roman" w:hAnsi="Arial" w:cs="Times New Roman"/>
          <w:b/>
          <w:bCs/>
          <w:sz w:val="24"/>
          <w:szCs w:val="24"/>
          <w:lang w:eastAsia="en-GB"/>
        </w:rPr>
        <w:t>Resolved:</w:t>
      </w:r>
      <w:r w:rsidR="00841CB6" w:rsidRPr="00841CB6">
        <w:rPr>
          <w:rFonts w:ascii="Arial" w:eastAsia="Times New Roman" w:hAnsi="Arial" w:cs="Times New Roman"/>
          <w:sz w:val="24"/>
          <w:szCs w:val="24"/>
          <w:lang w:eastAsia="en-GB"/>
        </w:rPr>
        <w:t xml:space="preserve"> That the Committee notes the proposed changes detailed in the report and recommends them to Full Council for approval.  </w:t>
      </w:r>
    </w:p>
    <w:p w14:paraId="7FBC0F22" w14:textId="253F2692" w:rsidR="00AF12A8" w:rsidRPr="00AF12A8" w:rsidRDefault="00AF12A8" w:rsidP="00A35F94">
      <w:pPr>
        <w:spacing w:after="0" w:line="240" w:lineRule="auto"/>
        <w:ind w:left="716" w:hanging="716"/>
        <w:rPr>
          <w:rFonts w:ascii="Arial" w:eastAsia="Arial" w:hAnsi="Arial" w:cs="Arial"/>
          <w:sz w:val="24"/>
          <w:szCs w:val="20"/>
          <w:lang w:eastAsia="en-GB"/>
        </w:rPr>
      </w:pPr>
    </w:p>
    <w:p w14:paraId="5F90AA92" w14:textId="2C297CAF" w:rsidR="0007159A" w:rsidRPr="0007159A" w:rsidRDefault="0007159A" w:rsidP="0007159A">
      <w:pPr>
        <w:spacing w:after="0" w:line="240" w:lineRule="auto"/>
        <w:rPr>
          <w:rFonts w:ascii="Arial" w:eastAsia="Times New Roman" w:hAnsi="Arial" w:cs="Times New Roman"/>
          <w:vanish/>
          <w:sz w:val="24"/>
          <w:szCs w:val="20"/>
          <w:lang w:eastAsia="en-GB"/>
        </w:rPr>
      </w:pPr>
      <w:r w:rsidRPr="0007159A">
        <w:rPr>
          <w:rFonts w:ascii="Arial" w:eastAsia="Times New Roman" w:hAnsi="Arial" w:cs="Times New Roman"/>
          <w:vanish/>
          <w:sz w:val="24"/>
          <w:szCs w:val="20"/>
          <w:lang w:eastAsia="en-GB"/>
        </w:rPr>
        <w:t>&lt;/AI7&gt;</w:t>
      </w:r>
    </w:p>
    <w:p w14:paraId="4BEC9920" w14:textId="77777777" w:rsidR="0007159A" w:rsidRPr="0007159A" w:rsidRDefault="0007159A" w:rsidP="0007159A">
      <w:pPr>
        <w:spacing w:after="0" w:line="240" w:lineRule="auto"/>
        <w:rPr>
          <w:rFonts w:ascii="Arial" w:eastAsia="Times New Roman" w:hAnsi="Arial" w:cs="Times New Roman"/>
          <w:vanish/>
          <w:sz w:val="24"/>
          <w:szCs w:val="20"/>
          <w:lang w:eastAsia="en-GB"/>
        </w:rPr>
      </w:pPr>
      <w:r w:rsidRPr="0007159A">
        <w:rPr>
          <w:rFonts w:ascii="Arial" w:eastAsia="Times New Roman" w:hAnsi="Arial" w:cs="Times New Roman"/>
          <w:vanish/>
          <w:sz w:val="24"/>
          <w:szCs w:val="20"/>
          <w:lang w:eastAsia="en-GB"/>
        </w:rPr>
        <w:t>&lt;AI8&gt;</w:t>
      </w:r>
    </w:p>
    <w:p w14:paraId="6983112A" w14:textId="2E91D873" w:rsidR="00E40572" w:rsidRPr="00F42858" w:rsidRDefault="00E40572" w:rsidP="00F42858">
      <w:pPr>
        <w:rPr>
          <w:rFonts w:ascii="Arial" w:hAnsi="Arial" w:cs="Arial"/>
          <w:bCs/>
          <w:sz w:val="24"/>
          <w:szCs w:val="24"/>
        </w:rPr>
      </w:pPr>
    </w:p>
    <w:p w14:paraId="18679C2A" w14:textId="77777777" w:rsidR="00E40572" w:rsidRDefault="00E40572" w:rsidP="0057679B">
      <w:pPr>
        <w:ind w:left="11"/>
        <w:jc w:val="both"/>
        <w:rPr>
          <w:rFonts w:ascii="Arial" w:eastAsia="Times New Roman" w:hAnsi="Arial" w:cs="Times New Roman"/>
          <w:sz w:val="24"/>
          <w:szCs w:val="24"/>
          <w:lang w:eastAsia="en-GB"/>
        </w:rPr>
      </w:pPr>
    </w:p>
    <w:p w14:paraId="52CC2697" w14:textId="410822F9" w:rsidR="009D5B37" w:rsidRPr="009D5B37" w:rsidRDefault="009D5B37" w:rsidP="009D5B37">
      <w:pPr>
        <w:spacing w:after="0" w:line="240" w:lineRule="auto"/>
        <w:rPr>
          <w:rFonts w:ascii="Arial" w:eastAsia="Arial" w:hAnsi="Arial" w:cs="Arial"/>
          <w:sz w:val="24"/>
          <w:szCs w:val="20"/>
          <w:lang w:eastAsia="en-GB"/>
        </w:rPr>
      </w:pPr>
    </w:p>
    <w:p w14:paraId="572265A2" w14:textId="77777777" w:rsidR="00725773" w:rsidRPr="007F3057" w:rsidRDefault="00725773" w:rsidP="007F3057">
      <w:pPr>
        <w:spacing w:after="0" w:line="240" w:lineRule="auto"/>
        <w:ind w:left="720" w:hanging="720"/>
        <w:rPr>
          <w:rFonts w:ascii="Arial" w:eastAsia="Arial" w:hAnsi="Arial" w:cs="Arial"/>
          <w:sz w:val="24"/>
          <w:szCs w:val="24"/>
          <w:lang w:eastAsia="en-GB"/>
        </w:rPr>
      </w:pPr>
    </w:p>
    <w:p w14:paraId="035DA579" w14:textId="4CE4E397" w:rsidR="009D5B37" w:rsidRPr="009D5B37" w:rsidRDefault="009D5B37" w:rsidP="00725773">
      <w:pPr>
        <w:spacing w:after="0" w:line="240" w:lineRule="auto"/>
        <w:rPr>
          <w:rFonts w:ascii="Arial" w:eastAsia="Times New Roman" w:hAnsi="Arial" w:cs="Times New Roman"/>
          <w:sz w:val="24"/>
          <w:szCs w:val="20"/>
          <w:lang w:eastAsia="en-GB"/>
        </w:rPr>
      </w:pPr>
      <w:r w:rsidRPr="007F3057">
        <w:rPr>
          <w:rFonts w:ascii="Arial" w:eastAsia="Times New Roman" w:hAnsi="Arial" w:cs="Times New Roman"/>
          <w:sz w:val="24"/>
          <w:szCs w:val="24"/>
          <w:lang w:eastAsia="en-GB"/>
        </w:rPr>
        <w:t> </w:t>
      </w:r>
    </w:p>
    <w:p w14:paraId="773B70CF" w14:textId="4B7C8530" w:rsidR="009D5B37" w:rsidRPr="00C641B4" w:rsidRDefault="00C34595" w:rsidP="009D5B37">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 xml:space="preserve">COUNCIL </w:t>
      </w:r>
      <w:r w:rsidR="00C641B4" w:rsidRPr="00C641B4">
        <w:rPr>
          <w:rFonts w:ascii="Arial" w:eastAsia="Times New Roman" w:hAnsi="Arial" w:cs="Times New Roman"/>
          <w:b/>
          <w:bCs/>
          <w:sz w:val="24"/>
          <w:szCs w:val="24"/>
          <w:lang w:eastAsia="en-GB"/>
        </w:rPr>
        <w:t>RECOMMENDATION:</w:t>
      </w:r>
    </w:p>
    <w:p w14:paraId="225C81D9" w14:textId="51EE2411" w:rsidR="00C641B4" w:rsidRPr="00C641B4" w:rsidRDefault="00C641B4" w:rsidP="009D5B37">
      <w:pPr>
        <w:spacing w:after="0" w:line="240" w:lineRule="auto"/>
        <w:rPr>
          <w:rFonts w:ascii="Arial" w:eastAsia="Times New Roman" w:hAnsi="Arial" w:cs="Times New Roman"/>
          <w:b/>
          <w:bCs/>
          <w:sz w:val="24"/>
          <w:szCs w:val="24"/>
          <w:lang w:eastAsia="en-GB"/>
        </w:rPr>
      </w:pPr>
    </w:p>
    <w:p w14:paraId="37EA8FE5" w14:textId="5D662C70" w:rsidR="00C641B4" w:rsidRDefault="00C641B4" w:rsidP="009D5B37">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That Council notes the report of the </w:t>
      </w:r>
      <w:r w:rsidR="00A53CE8">
        <w:rPr>
          <w:rFonts w:ascii="Arial" w:eastAsia="Times New Roman" w:hAnsi="Arial" w:cs="Times New Roman"/>
          <w:sz w:val="24"/>
          <w:szCs w:val="24"/>
          <w:lang w:eastAsia="en-GB"/>
        </w:rPr>
        <w:t>G</w:t>
      </w:r>
      <w:r>
        <w:rPr>
          <w:rFonts w:ascii="Arial" w:eastAsia="Times New Roman" w:hAnsi="Arial" w:cs="Times New Roman"/>
          <w:sz w:val="24"/>
          <w:szCs w:val="24"/>
          <w:lang w:eastAsia="en-GB"/>
        </w:rPr>
        <w:t>overnance Committee.</w:t>
      </w:r>
    </w:p>
    <w:p w14:paraId="11612BAF" w14:textId="77777777" w:rsidR="009D5B37" w:rsidRDefault="009D5B37" w:rsidP="009D5B37">
      <w:pPr>
        <w:spacing w:after="0" w:line="240" w:lineRule="auto"/>
        <w:rPr>
          <w:rFonts w:ascii="Arial" w:eastAsia="Times New Roman" w:hAnsi="Arial" w:cs="Times New Roman"/>
          <w:sz w:val="24"/>
          <w:szCs w:val="24"/>
          <w:lang w:eastAsia="en-GB"/>
        </w:rPr>
      </w:pPr>
    </w:p>
    <w:p w14:paraId="37873398" w14:textId="77777777" w:rsidR="009D5B37" w:rsidRDefault="009D5B37" w:rsidP="009D5B37">
      <w:pPr>
        <w:spacing w:after="0" w:line="240" w:lineRule="auto"/>
        <w:rPr>
          <w:rFonts w:ascii="Arial" w:eastAsia="Times New Roman" w:hAnsi="Arial" w:cs="Times New Roman"/>
          <w:sz w:val="24"/>
          <w:szCs w:val="24"/>
          <w:lang w:eastAsia="en-GB"/>
        </w:rPr>
      </w:pPr>
    </w:p>
    <w:p w14:paraId="5E0D0170" w14:textId="2736C8C3" w:rsidR="004672CF" w:rsidRPr="009D5B37" w:rsidRDefault="004672CF" w:rsidP="009D5B37">
      <w:pPr>
        <w:spacing w:after="0" w:line="240" w:lineRule="auto"/>
        <w:rPr>
          <w:rFonts w:ascii="Arial" w:eastAsia="Times New Roman" w:hAnsi="Arial" w:cs="Times New Roman"/>
          <w:sz w:val="24"/>
          <w:szCs w:val="24"/>
          <w:lang w:eastAsia="en-GB"/>
        </w:rPr>
      </w:pPr>
      <w:r w:rsidRPr="009D5B37">
        <w:rPr>
          <w:rFonts w:ascii="Arial" w:eastAsia="Times New Roman" w:hAnsi="Arial" w:cs="Times New Roman"/>
          <w:sz w:val="24"/>
          <w:szCs w:val="24"/>
          <w:lang w:eastAsia="en-GB"/>
        </w:rPr>
        <w:t xml:space="preserve"> </w:t>
      </w:r>
    </w:p>
    <w:p w14:paraId="0E513AC2" w14:textId="735905EA" w:rsidR="006076EA" w:rsidRPr="004672CF" w:rsidRDefault="006076EA" w:rsidP="004672CF">
      <w:pPr>
        <w:pStyle w:val="ListParagraph"/>
        <w:spacing w:after="0" w:line="252" w:lineRule="auto"/>
        <w:ind w:left="502"/>
        <w:rPr>
          <w:rFonts w:ascii="Arial" w:hAnsi="Arial" w:cs="Arial"/>
          <w:sz w:val="24"/>
          <w:szCs w:val="24"/>
        </w:rPr>
      </w:pPr>
    </w:p>
    <w:p w14:paraId="2BA6F59C" w14:textId="77777777" w:rsidR="006076EA" w:rsidRDefault="006076EA" w:rsidP="00C127E7">
      <w:pPr>
        <w:spacing w:after="0" w:line="252" w:lineRule="auto"/>
        <w:rPr>
          <w:rFonts w:ascii="Arial" w:hAnsi="Arial" w:cs="Arial"/>
          <w:sz w:val="24"/>
          <w:szCs w:val="24"/>
        </w:rPr>
      </w:pPr>
    </w:p>
    <w:p w14:paraId="4C003502" w14:textId="4F32BF05" w:rsidR="00E5485B" w:rsidRDefault="009A5B08"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 xml:space="preserve">ouncillor </w:t>
      </w:r>
      <w:r w:rsidR="00EE3AA6">
        <w:rPr>
          <w:rFonts w:ascii="Arial" w:hAnsi="Arial" w:cs="Arial"/>
          <w:sz w:val="24"/>
          <w:szCs w:val="24"/>
        </w:rPr>
        <w:t>Colin Sharples</w:t>
      </w:r>
    </w:p>
    <w:p w14:paraId="0387A3B0" w14:textId="4758DCF9" w:rsidR="00B05406" w:rsidRPr="00B05406" w:rsidRDefault="00E5485B"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hair of the Governance Committee</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20B"/>
    <w:multiLevelType w:val="hybridMultilevel"/>
    <w:tmpl w:val="362E0DC4"/>
    <w:lvl w:ilvl="0" w:tplc="D8A84F1C">
      <w:start w:val="1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3" w15:restartNumberingAfterBreak="0">
    <w:nsid w:val="110236BB"/>
    <w:multiLevelType w:val="hybridMultilevel"/>
    <w:tmpl w:val="333E1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AE5B67"/>
    <w:multiLevelType w:val="hybridMultilevel"/>
    <w:tmpl w:val="ECA4E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754C26"/>
    <w:multiLevelType w:val="hybridMultilevel"/>
    <w:tmpl w:val="24065CC2"/>
    <w:lvl w:ilvl="0" w:tplc="D2FEF09C">
      <w:start w:val="13"/>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B60FC"/>
    <w:multiLevelType w:val="hybridMultilevel"/>
    <w:tmpl w:val="8C8C39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912BA"/>
    <w:multiLevelType w:val="hybridMultilevel"/>
    <w:tmpl w:val="F376B00C"/>
    <w:lvl w:ilvl="0" w:tplc="3F9A4FA4">
      <w:start w:val="2"/>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9219E"/>
    <w:multiLevelType w:val="hybridMultilevel"/>
    <w:tmpl w:val="E01AC99C"/>
    <w:lvl w:ilvl="0" w:tplc="5A82BAB2">
      <w:start w:val="12"/>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73CF1"/>
    <w:multiLevelType w:val="hybridMultilevel"/>
    <w:tmpl w:val="1660A00A"/>
    <w:lvl w:ilvl="0" w:tplc="845AF74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D3D465D"/>
    <w:multiLevelType w:val="hybridMultilevel"/>
    <w:tmpl w:val="8E7A4A14"/>
    <w:lvl w:ilvl="0" w:tplc="DB4A3A9A">
      <w:start w:val="1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963A2"/>
    <w:multiLevelType w:val="hybridMultilevel"/>
    <w:tmpl w:val="6F1CDF5E"/>
    <w:lvl w:ilvl="0" w:tplc="8B060976">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77D1B"/>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491599B"/>
    <w:multiLevelType w:val="hybridMultilevel"/>
    <w:tmpl w:val="A8CC4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771FC"/>
    <w:multiLevelType w:val="hybridMultilevel"/>
    <w:tmpl w:val="AC68AF10"/>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24"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27" w15:restartNumberingAfterBreak="0">
    <w:nsid w:val="48273ECD"/>
    <w:multiLevelType w:val="hybridMultilevel"/>
    <w:tmpl w:val="785A9F30"/>
    <w:lvl w:ilvl="0" w:tplc="8F30D19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B61AD"/>
    <w:multiLevelType w:val="hybridMultilevel"/>
    <w:tmpl w:val="4B3ED788"/>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5D0CFE"/>
    <w:multiLevelType w:val="hybridMultilevel"/>
    <w:tmpl w:val="06B6C13E"/>
    <w:lvl w:ilvl="0" w:tplc="C48E0646">
      <w:start w:val="10"/>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132A87"/>
    <w:multiLevelType w:val="hybridMultilevel"/>
    <w:tmpl w:val="1C80A34E"/>
    <w:lvl w:ilvl="0" w:tplc="8A6E30F2">
      <w:start w:val="1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E29175E"/>
    <w:multiLevelType w:val="hybridMultilevel"/>
    <w:tmpl w:val="EC3C3EFE"/>
    <w:lvl w:ilvl="0" w:tplc="81A069E4">
      <w:start w:val="4"/>
      <w:numFmt w:val="bullet"/>
      <w:lvlText w:val="-"/>
      <w:lvlJc w:val="left"/>
      <w:pPr>
        <w:ind w:left="630" w:hanging="360"/>
      </w:pPr>
      <w:rPr>
        <w:rFonts w:ascii="Arial" w:eastAsia="Times New Roman"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4"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5"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abstractNum w:abstractNumId="39" w15:restartNumberingAfterBreak="0">
    <w:nsid w:val="726848FD"/>
    <w:multiLevelType w:val="hybridMultilevel"/>
    <w:tmpl w:val="D2942046"/>
    <w:lvl w:ilvl="0" w:tplc="B32E8E0C">
      <w:start w:val="1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F7366"/>
    <w:multiLevelType w:val="hybridMultilevel"/>
    <w:tmpl w:val="5DB0ABF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031940"/>
    <w:multiLevelType w:val="hybridMultilevel"/>
    <w:tmpl w:val="54944326"/>
    <w:lvl w:ilvl="0" w:tplc="E56E41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64423E"/>
    <w:multiLevelType w:val="multilevel"/>
    <w:tmpl w:val="7C7C3402"/>
    <w:lvl w:ilvl="0">
      <w:start w:val="2"/>
      <w:numFmt w:val="decimal"/>
      <w:lvlText w:val="%1."/>
      <w:lvlJc w:val="left"/>
      <w:pPr>
        <w:ind w:left="502"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747782">
    <w:abstractNumId w:val="29"/>
  </w:num>
  <w:num w:numId="2" w16cid:durableId="21685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236603">
    <w:abstractNumId w:val="8"/>
  </w:num>
  <w:num w:numId="4" w16cid:durableId="810832399">
    <w:abstractNumId w:val="26"/>
  </w:num>
  <w:num w:numId="5" w16cid:durableId="1480876858">
    <w:abstractNumId w:val="16"/>
  </w:num>
  <w:num w:numId="6" w16cid:durableId="474761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448628">
    <w:abstractNumId w:val="20"/>
  </w:num>
  <w:num w:numId="8" w16cid:durableId="2119908243">
    <w:abstractNumId w:val="15"/>
  </w:num>
  <w:num w:numId="9" w16cid:durableId="97793338">
    <w:abstractNumId w:val="1"/>
  </w:num>
  <w:num w:numId="10" w16cid:durableId="1618096328">
    <w:abstractNumId w:val="12"/>
  </w:num>
  <w:num w:numId="11" w16cid:durableId="1016149635">
    <w:abstractNumId w:val="35"/>
  </w:num>
  <w:num w:numId="12" w16cid:durableId="200174080">
    <w:abstractNumId w:val="28"/>
  </w:num>
  <w:num w:numId="13" w16cid:durableId="437867523">
    <w:abstractNumId w:val="21"/>
  </w:num>
  <w:num w:numId="14" w16cid:durableId="4586492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32799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9877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318084">
    <w:abstractNumId w:val="18"/>
  </w:num>
  <w:num w:numId="18" w16cid:durableId="1965966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768420">
    <w:abstractNumId w:val="36"/>
  </w:num>
  <w:num w:numId="20" w16cid:durableId="169370274">
    <w:abstractNumId w:val="24"/>
  </w:num>
  <w:num w:numId="21" w16cid:durableId="1026759785">
    <w:abstractNumId w:val="25"/>
  </w:num>
  <w:num w:numId="22" w16cid:durableId="1866938150">
    <w:abstractNumId w:val="4"/>
  </w:num>
  <w:num w:numId="23" w16cid:durableId="847132854">
    <w:abstractNumId w:val="9"/>
  </w:num>
  <w:num w:numId="24" w16cid:durableId="105779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782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4483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0924475">
    <w:abstractNumId w:val="11"/>
  </w:num>
  <w:num w:numId="28" w16cid:durableId="1191380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4684046">
    <w:abstractNumId w:val="41"/>
  </w:num>
  <w:num w:numId="30" w16cid:durableId="1263881909">
    <w:abstractNumId w:val="33"/>
  </w:num>
  <w:num w:numId="31" w16cid:durableId="2094543839">
    <w:abstractNumId w:val="27"/>
  </w:num>
  <w:num w:numId="32" w16cid:durableId="727580715">
    <w:abstractNumId w:val="14"/>
  </w:num>
  <w:num w:numId="33" w16cid:durableId="164369381">
    <w:abstractNumId w:val="0"/>
  </w:num>
  <w:num w:numId="34" w16cid:durableId="442268887">
    <w:abstractNumId w:val="39"/>
  </w:num>
  <w:num w:numId="35" w16cid:durableId="1072504847">
    <w:abstractNumId w:val="31"/>
  </w:num>
  <w:num w:numId="36" w16cid:durableId="827012447">
    <w:abstractNumId w:val="10"/>
  </w:num>
  <w:num w:numId="37" w16cid:durableId="1192181609">
    <w:abstractNumId w:val="6"/>
  </w:num>
  <w:num w:numId="38" w16cid:durableId="701397876">
    <w:abstractNumId w:val="13"/>
  </w:num>
  <w:num w:numId="39" w16cid:durableId="310838635">
    <w:abstractNumId w:val="17"/>
  </w:num>
  <w:num w:numId="40" w16cid:durableId="2116632547">
    <w:abstractNumId w:val="40"/>
  </w:num>
  <w:num w:numId="41" w16cid:durableId="1051152094">
    <w:abstractNumId w:val="22"/>
  </w:num>
  <w:num w:numId="42" w16cid:durableId="565994579">
    <w:abstractNumId w:val="30"/>
  </w:num>
  <w:num w:numId="43" w16cid:durableId="12344374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036D7"/>
    <w:rsid w:val="000154D9"/>
    <w:rsid w:val="000263B2"/>
    <w:rsid w:val="00054371"/>
    <w:rsid w:val="00057F94"/>
    <w:rsid w:val="00060091"/>
    <w:rsid w:val="00060D84"/>
    <w:rsid w:val="0007159A"/>
    <w:rsid w:val="000742E1"/>
    <w:rsid w:val="00074DEC"/>
    <w:rsid w:val="00075FF2"/>
    <w:rsid w:val="0008231C"/>
    <w:rsid w:val="00082CF3"/>
    <w:rsid w:val="000863FA"/>
    <w:rsid w:val="000873EA"/>
    <w:rsid w:val="00090940"/>
    <w:rsid w:val="000A1773"/>
    <w:rsid w:val="000A1B09"/>
    <w:rsid w:val="000A1E31"/>
    <w:rsid w:val="000A49FE"/>
    <w:rsid w:val="000B554C"/>
    <w:rsid w:val="000B77EE"/>
    <w:rsid w:val="000D2E0A"/>
    <w:rsid w:val="000D77CC"/>
    <w:rsid w:val="000E13D5"/>
    <w:rsid w:val="000E6B65"/>
    <w:rsid w:val="000E74BB"/>
    <w:rsid w:val="000F00C3"/>
    <w:rsid w:val="000F39B0"/>
    <w:rsid w:val="000F4C8F"/>
    <w:rsid w:val="00100090"/>
    <w:rsid w:val="00110C05"/>
    <w:rsid w:val="00111EC0"/>
    <w:rsid w:val="00115EA4"/>
    <w:rsid w:val="00116711"/>
    <w:rsid w:val="00121FB5"/>
    <w:rsid w:val="00124C30"/>
    <w:rsid w:val="00133FBB"/>
    <w:rsid w:val="001503A8"/>
    <w:rsid w:val="001522CE"/>
    <w:rsid w:val="001536B8"/>
    <w:rsid w:val="001547C1"/>
    <w:rsid w:val="0015774B"/>
    <w:rsid w:val="00165473"/>
    <w:rsid w:val="00172944"/>
    <w:rsid w:val="00172B64"/>
    <w:rsid w:val="00173379"/>
    <w:rsid w:val="001900DA"/>
    <w:rsid w:val="001A20FA"/>
    <w:rsid w:val="001B28C8"/>
    <w:rsid w:val="001B2EEC"/>
    <w:rsid w:val="001B3AA3"/>
    <w:rsid w:val="001C08CD"/>
    <w:rsid w:val="001C1222"/>
    <w:rsid w:val="001C5BBF"/>
    <w:rsid w:val="001C60EE"/>
    <w:rsid w:val="001C73D0"/>
    <w:rsid w:val="001D2616"/>
    <w:rsid w:val="001E76D1"/>
    <w:rsid w:val="001E7E00"/>
    <w:rsid w:val="001F104C"/>
    <w:rsid w:val="001F229A"/>
    <w:rsid w:val="001F314A"/>
    <w:rsid w:val="001F4E7B"/>
    <w:rsid w:val="00202447"/>
    <w:rsid w:val="00203DBD"/>
    <w:rsid w:val="0021168C"/>
    <w:rsid w:val="00211889"/>
    <w:rsid w:val="00221D32"/>
    <w:rsid w:val="00222653"/>
    <w:rsid w:val="0022321C"/>
    <w:rsid w:val="00224AAA"/>
    <w:rsid w:val="002267A0"/>
    <w:rsid w:val="002312F9"/>
    <w:rsid w:val="00231804"/>
    <w:rsid w:val="0024149D"/>
    <w:rsid w:val="00244AEB"/>
    <w:rsid w:val="0024675D"/>
    <w:rsid w:val="002558E0"/>
    <w:rsid w:val="0026050B"/>
    <w:rsid w:val="002624C3"/>
    <w:rsid w:val="002707D9"/>
    <w:rsid w:val="00272C09"/>
    <w:rsid w:val="0028788C"/>
    <w:rsid w:val="002953D6"/>
    <w:rsid w:val="002A0192"/>
    <w:rsid w:val="002A5EDE"/>
    <w:rsid w:val="002B07DA"/>
    <w:rsid w:val="002B0DC3"/>
    <w:rsid w:val="002B3E08"/>
    <w:rsid w:val="002B6AA4"/>
    <w:rsid w:val="002C068C"/>
    <w:rsid w:val="002C2CA6"/>
    <w:rsid w:val="002D0ACB"/>
    <w:rsid w:val="002E28C6"/>
    <w:rsid w:val="002E4377"/>
    <w:rsid w:val="002E6E51"/>
    <w:rsid w:val="003062D9"/>
    <w:rsid w:val="003161FA"/>
    <w:rsid w:val="00325A9C"/>
    <w:rsid w:val="003332EA"/>
    <w:rsid w:val="003412B5"/>
    <w:rsid w:val="00344E8E"/>
    <w:rsid w:val="00350552"/>
    <w:rsid w:val="00351663"/>
    <w:rsid w:val="0035380D"/>
    <w:rsid w:val="00354B10"/>
    <w:rsid w:val="00357B6A"/>
    <w:rsid w:val="00364773"/>
    <w:rsid w:val="00365370"/>
    <w:rsid w:val="00366069"/>
    <w:rsid w:val="00366245"/>
    <w:rsid w:val="0036760F"/>
    <w:rsid w:val="00370EEB"/>
    <w:rsid w:val="00372378"/>
    <w:rsid w:val="0037581E"/>
    <w:rsid w:val="00383D56"/>
    <w:rsid w:val="00385934"/>
    <w:rsid w:val="0038761D"/>
    <w:rsid w:val="00392375"/>
    <w:rsid w:val="00397ADD"/>
    <w:rsid w:val="003A1FF8"/>
    <w:rsid w:val="003A34EC"/>
    <w:rsid w:val="003A56A2"/>
    <w:rsid w:val="003B0469"/>
    <w:rsid w:val="003B7D27"/>
    <w:rsid w:val="003C3353"/>
    <w:rsid w:val="003C3540"/>
    <w:rsid w:val="003E0D2A"/>
    <w:rsid w:val="003F03D5"/>
    <w:rsid w:val="003F0669"/>
    <w:rsid w:val="003F4AF9"/>
    <w:rsid w:val="00400FD0"/>
    <w:rsid w:val="004075C3"/>
    <w:rsid w:val="004109E5"/>
    <w:rsid w:val="004110C1"/>
    <w:rsid w:val="004161FD"/>
    <w:rsid w:val="00420296"/>
    <w:rsid w:val="0042449F"/>
    <w:rsid w:val="004323C2"/>
    <w:rsid w:val="004358DB"/>
    <w:rsid w:val="00436D23"/>
    <w:rsid w:val="0043775C"/>
    <w:rsid w:val="00440637"/>
    <w:rsid w:val="00440AC5"/>
    <w:rsid w:val="004473E2"/>
    <w:rsid w:val="0045085E"/>
    <w:rsid w:val="004537E4"/>
    <w:rsid w:val="00460FB1"/>
    <w:rsid w:val="004672CF"/>
    <w:rsid w:val="00467C55"/>
    <w:rsid w:val="004719E7"/>
    <w:rsid w:val="00481229"/>
    <w:rsid w:val="00484417"/>
    <w:rsid w:val="004860B9"/>
    <w:rsid w:val="00486ECB"/>
    <w:rsid w:val="004875AA"/>
    <w:rsid w:val="00487FFC"/>
    <w:rsid w:val="00490F05"/>
    <w:rsid w:val="004919DC"/>
    <w:rsid w:val="00493110"/>
    <w:rsid w:val="00495D7E"/>
    <w:rsid w:val="00496675"/>
    <w:rsid w:val="00496835"/>
    <w:rsid w:val="004972D5"/>
    <w:rsid w:val="004B6FF8"/>
    <w:rsid w:val="004C435C"/>
    <w:rsid w:val="004C5D10"/>
    <w:rsid w:val="004C6A90"/>
    <w:rsid w:val="004D5C05"/>
    <w:rsid w:val="004E1360"/>
    <w:rsid w:val="004E1CA1"/>
    <w:rsid w:val="004E2A53"/>
    <w:rsid w:val="004E3154"/>
    <w:rsid w:val="004F55DE"/>
    <w:rsid w:val="0050375A"/>
    <w:rsid w:val="00505145"/>
    <w:rsid w:val="0051287C"/>
    <w:rsid w:val="005132E6"/>
    <w:rsid w:val="00514DED"/>
    <w:rsid w:val="0051502E"/>
    <w:rsid w:val="00517D74"/>
    <w:rsid w:val="00525398"/>
    <w:rsid w:val="00525B9F"/>
    <w:rsid w:val="00525F88"/>
    <w:rsid w:val="0053206E"/>
    <w:rsid w:val="00533598"/>
    <w:rsid w:val="00533697"/>
    <w:rsid w:val="00533A25"/>
    <w:rsid w:val="0053623C"/>
    <w:rsid w:val="00537152"/>
    <w:rsid w:val="005446A8"/>
    <w:rsid w:val="00545626"/>
    <w:rsid w:val="00546A87"/>
    <w:rsid w:val="00547D1A"/>
    <w:rsid w:val="00553A63"/>
    <w:rsid w:val="00564486"/>
    <w:rsid w:val="00565165"/>
    <w:rsid w:val="00565DD6"/>
    <w:rsid w:val="00575B00"/>
    <w:rsid w:val="0057618D"/>
    <w:rsid w:val="0057679B"/>
    <w:rsid w:val="00580D38"/>
    <w:rsid w:val="00581C1C"/>
    <w:rsid w:val="005837CD"/>
    <w:rsid w:val="00590C0D"/>
    <w:rsid w:val="00590FFC"/>
    <w:rsid w:val="005A63FE"/>
    <w:rsid w:val="005A6F91"/>
    <w:rsid w:val="005B109C"/>
    <w:rsid w:val="005B5082"/>
    <w:rsid w:val="005C223C"/>
    <w:rsid w:val="005C287C"/>
    <w:rsid w:val="005C4299"/>
    <w:rsid w:val="005C5B41"/>
    <w:rsid w:val="005C73F2"/>
    <w:rsid w:val="005C7491"/>
    <w:rsid w:val="005D1256"/>
    <w:rsid w:val="005D452D"/>
    <w:rsid w:val="005E0A78"/>
    <w:rsid w:val="005E0C47"/>
    <w:rsid w:val="005F5B81"/>
    <w:rsid w:val="00603DD4"/>
    <w:rsid w:val="006076EA"/>
    <w:rsid w:val="006258DD"/>
    <w:rsid w:val="00644C50"/>
    <w:rsid w:val="00650A47"/>
    <w:rsid w:val="00655088"/>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6F07BC"/>
    <w:rsid w:val="00704E3F"/>
    <w:rsid w:val="007068A5"/>
    <w:rsid w:val="0072061A"/>
    <w:rsid w:val="00723559"/>
    <w:rsid w:val="00725773"/>
    <w:rsid w:val="00731372"/>
    <w:rsid w:val="00731C12"/>
    <w:rsid w:val="0073309C"/>
    <w:rsid w:val="00736D83"/>
    <w:rsid w:val="00737866"/>
    <w:rsid w:val="0076034B"/>
    <w:rsid w:val="00765C90"/>
    <w:rsid w:val="007663AC"/>
    <w:rsid w:val="00770353"/>
    <w:rsid w:val="00770C81"/>
    <w:rsid w:val="0077141A"/>
    <w:rsid w:val="00773469"/>
    <w:rsid w:val="00790B4F"/>
    <w:rsid w:val="007A57A1"/>
    <w:rsid w:val="007B2356"/>
    <w:rsid w:val="007B30FC"/>
    <w:rsid w:val="007B558E"/>
    <w:rsid w:val="007B56A1"/>
    <w:rsid w:val="007B6A76"/>
    <w:rsid w:val="007C3550"/>
    <w:rsid w:val="007D4DFB"/>
    <w:rsid w:val="007D52AF"/>
    <w:rsid w:val="007D59C8"/>
    <w:rsid w:val="007E00B2"/>
    <w:rsid w:val="007E0AFA"/>
    <w:rsid w:val="007E1162"/>
    <w:rsid w:val="007E56CA"/>
    <w:rsid w:val="007F24CF"/>
    <w:rsid w:val="007F3057"/>
    <w:rsid w:val="007F5AB1"/>
    <w:rsid w:val="00803472"/>
    <w:rsid w:val="00804455"/>
    <w:rsid w:val="008079D9"/>
    <w:rsid w:val="00820A07"/>
    <w:rsid w:val="00821256"/>
    <w:rsid w:val="008326DC"/>
    <w:rsid w:val="00832717"/>
    <w:rsid w:val="008334D6"/>
    <w:rsid w:val="00841CB6"/>
    <w:rsid w:val="00846E0B"/>
    <w:rsid w:val="00851535"/>
    <w:rsid w:val="008523C8"/>
    <w:rsid w:val="00860DD8"/>
    <w:rsid w:val="00862FFC"/>
    <w:rsid w:val="008769DE"/>
    <w:rsid w:val="008776A0"/>
    <w:rsid w:val="0088186E"/>
    <w:rsid w:val="00890B4E"/>
    <w:rsid w:val="0089174E"/>
    <w:rsid w:val="00896B69"/>
    <w:rsid w:val="008B5A7E"/>
    <w:rsid w:val="008C3C90"/>
    <w:rsid w:val="008D473B"/>
    <w:rsid w:val="008E6407"/>
    <w:rsid w:val="008F3D86"/>
    <w:rsid w:val="008F5050"/>
    <w:rsid w:val="008F5BC2"/>
    <w:rsid w:val="00904811"/>
    <w:rsid w:val="00907954"/>
    <w:rsid w:val="009108A7"/>
    <w:rsid w:val="00911F80"/>
    <w:rsid w:val="00917EA0"/>
    <w:rsid w:val="00920304"/>
    <w:rsid w:val="00921617"/>
    <w:rsid w:val="00936E92"/>
    <w:rsid w:val="0093791A"/>
    <w:rsid w:val="00944093"/>
    <w:rsid w:val="0094530B"/>
    <w:rsid w:val="00945EE2"/>
    <w:rsid w:val="00946383"/>
    <w:rsid w:val="00953B0A"/>
    <w:rsid w:val="00962A7A"/>
    <w:rsid w:val="00974E0B"/>
    <w:rsid w:val="009847FF"/>
    <w:rsid w:val="00985E1F"/>
    <w:rsid w:val="00992BC3"/>
    <w:rsid w:val="00995017"/>
    <w:rsid w:val="009A0903"/>
    <w:rsid w:val="009A5B08"/>
    <w:rsid w:val="009A5D9A"/>
    <w:rsid w:val="009B0274"/>
    <w:rsid w:val="009C0978"/>
    <w:rsid w:val="009C2C3A"/>
    <w:rsid w:val="009D2DA3"/>
    <w:rsid w:val="009D5B37"/>
    <w:rsid w:val="009E3735"/>
    <w:rsid w:val="009E6254"/>
    <w:rsid w:val="009F0ED0"/>
    <w:rsid w:val="00A00CEB"/>
    <w:rsid w:val="00A015A2"/>
    <w:rsid w:val="00A066E9"/>
    <w:rsid w:val="00A114DB"/>
    <w:rsid w:val="00A12E65"/>
    <w:rsid w:val="00A160B3"/>
    <w:rsid w:val="00A17815"/>
    <w:rsid w:val="00A27337"/>
    <w:rsid w:val="00A34F3F"/>
    <w:rsid w:val="00A35F94"/>
    <w:rsid w:val="00A35FF7"/>
    <w:rsid w:val="00A37FF8"/>
    <w:rsid w:val="00A45C7E"/>
    <w:rsid w:val="00A5139A"/>
    <w:rsid w:val="00A524AD"/>
    <w:rsid w:val="00A53CE8"/>
    <w:rsid w:val="00A54E2A"/>
    <w:rsid w:val="00A61EDD"/>
    <w:rsid w:val="00A64278"/>
    <w:rsid w:val="00A64564"/>
    <w:rsid w:val="00A647AE"/>
    <w:rsid w:val="00A66107"/>
    <w:rsid w:val="00A74866"/>
    <w:rsid w:val="00A77BF5"/>
    <w:rsid w:val="00A9022E"/>
    <w:rsid w:val="00A90AAF"/>
    <w:rsid w:val="00A943AB"/>
    <w:rsid w:val="00A94C19"/>
    <w:rsid w:val="00A9782D"/>
    <w:rsid w:val="00AA3274"/>
    <w:rsid w:val="00AA458A"/>
    <w:rsid w:val="00AB0C3C"/>
    <w:rsid w:val="00AB5017"/>
    <w:rsid w:val="00AB5792"/>
    <w:rsid w:val="00AC2818"/>
    <w:rsid w:val="00AC4155"/>
    <w:rsid w:val="00AD0427"/>
    <w:rsid w:val="00AD55B4"/>
    <w:rsid w:val="00AE05F6"/>
    <w:rsid w:val="00AE3BBF"/>
    <w:rsid w:val="00AF12A8"/>
    <w:rsid w:val="00AF1A05"/>
    <w:rsid w:val="00AF49F1"/>
    <w:rsid w:val="00B008BC"/>
    <w:rsid w:val="00B01508"/>
    <w:rsid w:val="00B05406"/>
    <w:rsid w:val="00B12190"/>
    <w:rsid w:val="00B178E0"/>
    <w:rsid w:val="00B2705F"/>
    <w:rsid w:val="00B2789E"/>
    <w:rsid w:val="00B3192C"/>
    <w:rsid w:val="00B3630D"/>
    <w:rsid w:val="00B40D8D"/>
    <w:rsid w:val="00B4326E"/>
    <w:rsid w:val="00B4395A"/>
    <w:rsid w:val="00B46B90"/>
    <w:rsid w:val="00B50679"/>
    <w:rsid w:val="00B562DD"/>
    <w:rsid w:val="00B57D11"/>
    <w:rsid w:val="00B61C4F"/>
    <w:rsid w:val="00B62E48"/>
    <w:rsid w:val="00B76FBB"/>
    <w:rsid w:val="00B813EE"/>
    <w:rsid w:val="00B869F7"/>
    <w:rsid w:val="00B86C06"/>
    <w:rsid w:val="00B939C5"/>
    <w:rsid w:val="00B95E48"/>
    <w:rsid w:val="00BA1209"/>
    <w:rsid w:val="00BB0E6B"/>
    <w:rsid w:val="00BC12E7"/>
    <w:rsid w:val="00BC7F7F"/>
    <w:rsid w:val="00BD2E99"/>
    <w:rsid w:val="00BE02CE"/>
    <w:rsid w:val="00BE2749"/>
    <w:rsid w:val="00BE468E"/>
    <w:rsid w:val="00BE4C2A"/>
    <w:rsid w:val="00BF009C"/>
    <w:rsid w:val="00C029FE"/>
    <w:rsid w:val="00C05ED1"/>
    <w:rsid w:val="00C11109"/>
    <w:rsid w:val="00C127E7"/>
    <w:rsid w:val="00C14C34"/>
    <w:rsid w:val="00C16325"/>
    <w:rsid w:val="00C33C09"/>
    <w:rsid w:val="00C34595"/>
    <w:rsid w:val="00C439B6"/>
    <w:rsid w:val="00C50C97"/>
    <w:rsid w:val="00C541D7"/>
    <w:rsid w:val="00C54758"/>
    <w:rsid w:val="00C629CA"/>
    <w:rsid w:val="00C641B4"/>
    <w:rsid w:val="00C86BE0"/>
    <w:rsid w:val="00C87C87"/>
    <w:rsid w:val="00C9064E"/>
    <w:rsid w:val="00C91911"/>
    <w:rsid w:val="00C97477"/>
    <w:rsid w:val="00CA3549"/>
    <w:rsid w:val="00CA6376"/>
    <w:rsid w:val="00CA6BDC"/>
    <w:rsid w:val="00CA7AE1"/>
    <w:rsid w:val="00CB3D58"/>
    <w:rsid w:val="00CB6B5B"/>
    <w:rsid w:val="00CC4960"/>
    <w:rsid w:val="00CD13F2"/>
    <w:rsid w:val="00CD3354"/>
    <w:rsid w:val="00CD4B75"/>
    <w:rsid w:val="00CE71BA"/>
    <w:rsid w:val="00CF2FB3"/>
    <w:rsid w:val="00CF6B62"/>
    <w:rsid w:val="00D00F28"/>
    <w:rsid w:val="00D061D5"/>
    <w:rsid w:val="00D068F4"/>
    <w:rsid w:val="00D10ABF"/>
    <w:rsid w:val="00D125FB"/>
    <w:rsid w:val="00D12AE2"/>
    <w:rsid w:val="00D2299C"/>
    <w:rsid w:val="00D24335"/>
    <w:rsid w:val="00D35423"/>
    <w:rsid w:val="00D36E91"/>
    <w:rsid w:val="00D404C3"/>
    <w:rsid w:val="00D57E78"/>
    <w:rsid w:val="00D62B3A"/>
    <w:rsid w:val="00D70ABB"/>
    <w:rsid w:val="00D74BE6"/>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184"/>
    <w:rsid w:val="00DD4E06"/>
    <w:rsid w:val="00DE08EA"/>
    <w:rsid w:val="00DE3E78"/>
    <w:rsid w:val="00DE7562"/>
    <w:rsid w:val="00E0313D"/>
    <w:rsid w:val="00E03209"/>
    <w:rsid w:val="00E06825"/>
    <w:rsid w:val="00E25A12"/>
    <w:rsid w:val="00E33C5B"/>
    <w:rsid w:val="00E340E9"/>
    <w:rsid w:val="00E40572"/>
    <w:rsid w:val="00E46DEE"/>
    <w:rsid w:val="00E46F7E"/>
    <w:rsid w:val="00E47F21"/>
    <w:rsid w:val="00E5332F"/>
    <w:rsid w:val="00E54138"/>
    <w:rsid w:val="00E5485B"/>
    <w:rsid w:val="00E61BA5"/>
    <w:rsid w:val="00E621B9"/>
    <w:rsid w:val="00E622B0"/>
    <w:rsid w:val="00E728C9"/>
    <w:rsid w:val="00E804C5"/>
    <w:rsid w:val="00E83B11"/>
    <w:rsid w:val="00E87333"/>
    <w:rsid w:val="00E91160"/>
    <w:rsid w:val="00E94467"/>
    <w:rsid w:val="00E94C86"/>
    <w:rsid w:val="00E95B95"/>
    <w:rsid w:val="00E9647B"/>
    <w:rsid w:val="00EA07C6"/>
    <w:rsid w:val="00EA1E62"/>
    <w:rsid w:val="00EA2886"/>
    <w:rsid w:val="00EA322A"/>
    <w:rsid w:val="00EA7EA0"/>
    <w:rsid w:val="00EC216C"/>
    <w:rsid w:val="00EC3057"/>
    <w:rsid w:val="00EC5825"/>
    <w:rsid w:val="00ED1733"/>
    <w:rsid w:val="00ED3317"/>
    <w:rsid w:val="00ED6657"/>
    <w:rsid w:val="00EE0A4C"/>
    <w:rsid w:val="00EE3AA6"/>
    <w:rsid w:val="00EE72BC"/>
    <w:rsid w:val="00EF03C5"/>
    <w:rsid w:val="00EF09C7"/>
    <w:rsid w:val="00EF3A9A"/>
    <w:rsid w:val="00F00AD8"/>
    <w:rsid w:val="00F011B6"/>
    <w:rsid w:val="00F14E26"/>
    <w:rsid w:val="00F1761D"/>
    <w:rsid w:val="00F21FDE"/>
    <w:rsid w:val="00F22635"/>
    <w:rsid w:val="00F237E0"/>
    <w:rsid w:val="00F2424A"/>
    <w:rsid w:val="00F26DB0"/>
    <w:rsid w:val="00F2788A"/>
    <w:rsid w:val="00F31C63"/>
    <w:rsid w:val="00F42858"/>
    <w:rsid w:val="00F45953"/>
    <w:rsid w:val="00F479BA"/>
    <w:rsid w:val="00F5153E"/>
    <w:rsid w:val="00F573D9"/>
    <w:rsid w:val="00F60388"/>
    <w:rsid w:val="00F71758"/>
    <w:rsid w:val="00F76816"/>
    <w:rsid w:val="00F83742"/>
    <w:rsid w:val="00F928EA"/>
    <w:rsid w:val="00F95806"/>
    <w:rsid w:val="00FA4AA9"/>
    <w:rsid w:val="00FB0C9D"/>
    <w:rsid w:val="00FB2109"/>
    <w:rsid w:val="00FB21B1"/>
    <w:rsid w:val="00FC4A74"/>
    <w:rsid w:val="00FD2B68"/>
    <w:rsid w:val="00FD2CBF"/>
    <w:rsid w:val="00FE34A9"/>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B09"/>
  </w:style>
  <w:style w:type="paragraph" w:customStyle="1" w:styleId="pMsoNormal">
    <w:name w:val="p_MsoNormal"/>
    <w:basedOn w:val="Normal"/>
    <w:rsid w:val="00581C1C"/>
    <w:pPr>
      <w:spacing w:after="0" w:line="240" w:lineRule="auto"/>
    </w:pPr>
    <w:rPr>
      <w:rFonts w:ascii="Arial" w:eastAsia="Arial" w:hAnsi="Arial" w:cs="Arial"/>
      <w:sz w:val="24"/>
      <w:szCs w:val="24"/>
      <w:lang w:val="en-US"/>
    </w:rPr>
  </w:style>
  <w:style w:type="character" w:customStyle="1" w:styleId="spanSpellE">
    <w:name w:val="span_SpellE"/>
    <w:basedOn w:val="DefaultParagraphFont"/>
    <w:rsid w:val="006076EA"/>
  </w:style>
  <w:style w:type="paragraph" w:styleId="BalloonText">
    <w:name w:val="Balloon Text"/>
    <w:basedOn w:val="Normal"/>
    <w:link w:val="BalloonTextChar"/>
    <w:uiPriority w:val="99"/>
    <w:semiHidden/>
    <w:unhideWhenUsed/>
    <w:rsid w:val="00C6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B4"/>
    <w:rPr>
      <w:rFonts w:ascii="Segoe UI" w:hAnsi="Segoe UI" w:cs="Segoe UI"/>
      <w:sz w:val="18"/>
      <w:szCs w:val="18"/>
    </w:rPr>
  </w:style>
  <w:style w:type="paragraph" w:customStyle="1" w:styleId="pNormal3">
    <w:name w:val="p_Normal3"/>
    <w:basedOn w:val="Normal"/>
    <w:rsid w:val="00A66107"/>
    <w:pPr>
      <w:spacing w:after="0" w:line="240" w:lineRule="auto"/>
    </w:pPr>
    <w:rPr>
      <w:rFonts w:ascii="Arial" w:eastAsia="Arial" w:hAnsi="Arial" w:cs="Arial"/>
      <w:lang w:val="en-US"/>
    </w:rPr>
  </w:style>
  <w:style w:type="character" w:customStyle="1" w:styleId="spanGramE">
    <w:name w:val="span_GramE"/>
    <w:basedOn w:val="DefaultParagraphFont"/>
    <w:rsid w:val="00F4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99036710">
      <w:bodyDiv w:val="1"/>
      <w:marLeft w:val="0"/>
      <w:marRight w:val="0"/>
      <w:marTop w:val="0"/>
      <w:marBottom w:val="0"/>
      <w:divBdr>
        <w:top w:val="none" w:sz="0" w:space="0" w:color="auto"/>
        <w:left w:val="none" w:sz="0" w:space="0" w:color="auto"/>
        <w:bottom w:val="none" w:sz="0" w:space="0" w:color="auto"/>
        <w:right w:val="none" w:sz="0" w:space="0" w:color="auto"/>
      </w:divBdr>
    </w:div>
    <w:div w:id="113064491">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32911541">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03099094">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85628422">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29807465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5982553">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26317406">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0315914">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598367423">
      <w:bodyDiv w:val="1"/>
      <w:marLeft w:val="0"/>
      <w:marRight w:val="0"/>
      <w:marTop w:val="0"/>
      <w:marBottom w:val="0"/>
      <w:divBdr>
        <w:top w:val="none" w:sz="0" w:space="0" w:color="auto"/>
        <w:left w:val="none" w:sz="0" w:space="0" w:color="auto"/>
        <w:bottom w:val="none" w:sz="0" w:space="0" w:color="auto"/>
        <w:right w:val="none" w:sz="0" w:space="0" w:color="auto"/>
      </w:divBdr>
    </w:div>
    <w:div w:id="600454939">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11400824">
      <w:bodyDiv w:val="1"/>
      <w:marLeft w:val="0"/>
      <w:marRight w:val="0"/>
      <w:marTop w:val="0"/>
      <w:marBottom w:val="0"/>
      <w:divBdr>
        <w:top w:val="none" w:sz="0" w:space="0" w:color="auto"/>
        <w:left w:val="none" w:sz="0" w:space="0" w:color="auto"/>
        <w:bottom w:val="none" w:sz="0" w:space="0" w:color="auto"/>
        <w:right w:val="none" w:sz="0" w:space="0" w:color="auto"/>
      </w:divBdr>
    </w:div>
    <w:div w:id="617840219">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07149885">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82728628">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135149">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1837059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1471152">
      <w:bodyDiv w:val="1"/>
      <w:marLeft w:val="0"/>
      <w:marRight w:val="0"/>
      <w:marTop w:val="0"/>
      <w:marBottom w:val="0"/>
      <w:divBdr>
        <w:top w:val="none" w:sz="0" w:space="0" w:color="auto"/>
        <w:left w:val="none" w:sz="0" w:space="0" w:color="auto"/>
        <w:bottom w:val="none" w:sz="0" w:space="0" w:color="auto"/>
        <w:right w:val="none" w:sz="0" w:space="0" w:color="auto"/>
      </w:divBdr>
      <w:divsChild>
        <w:div w:id="1301035894">
          <w:marLeft w:val="0"/>
          <w:marRight w:val="0"/>
          <w:marTop w:val="0"/>
          <w:marBottom w:val="0"/>
          <w:divBdr>
            <w:top w:val="single" w:sz="2" w:space="0" w:color="FFFFFF"/>
            <w:left w:val="single" w:sz="2" w:space="0" w:color="FFFFFF"/>
            <w:bottom w:val="single" w:sz="2" w:space="2" w:color="FFFFFF"/>
            <w:right w:val="single" w:sz="2" w:space="4" w:color="FFFFFF"/>
          </w:divBdr>
        </w:div>
      </w:divsChild>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0271074">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1772759">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27105509">
      <w:bodyDiv w:val="1"/>
      <w:marLeft w:val="0"/>
      <w:marRight w:val="0"/>
      <w:marTop w:val="0"/>
      <w:marBottom w:val="0"/>
      <w:divBdr>
        <w:top w:val="none" w:sz="0" w:space="0" w:color="auto"/>
        <w:left w:val="none" w:sz="0" w:space="0" w:color="auto"/>
        <w:bottom w:val="none" w:sz="0" w:space="0" w:color="auto"/>
        <w:right w:val="none" w:sz="0" w:space="0" w:color="auto"/>
      </w:divBdr>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3813179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58439876">
      <w:bodyDiv w:val="1"/>
      <w:marLeft w:val="0"/>
      <w:marRight w:val="0"/>
      <w:marTop w:val="0"/>
      <w:marBottom w:val="0"/>
      <w:divBdr>
        <w:top w:val="none" w:sz="0" w:space="0" w:color="auto"/>
        <w:left w:val="none" w:sz="0" w:space="0" w:color="auto"/>
        <w:bottom w:val="none" w:sz="0" w:space="0" w:color="auto"/>
        <w:right w:val="none" w:sz="0" w:space="0" w:color="auto"/>
      </w:divBdr>
    </w:div>
    <w:div w:id="1260796726">
      <w:bodyDiv w:val="1"/>
      <w:marLeft w:val="0"/>
      <w:marRight w:val="0"/>
      <w:marTop w:val="0"/>
      <w:marBottom w:val="0"/>
      <w:divBdr>
        <w:top w:val="none" w:sz="0" w:space="0" w:color="auto"/>
        <w:left w:val="none" w:sz="0" w:space="0" w:color="auto"/>
        <w:bottom w:val="none" w:sz="0" w:space="0" w:color="auto"/>
        <w:right w:val="none" w:sz="0" w:space="0" w:color="auto"/>
      </w:divBdr>
    </w:div>
    <w:div w:id="1273124280">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294411341">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6601914">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3797833">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06109048">
      <w:bodyDiv w:val="1"/>
      <w:marLeft w:val="0"/>
      <w:marRight w:val="0"/>
      <w:marTop w:val="0"/>
      <w:marBottom w:val="0"/>
      <w:divBdr>
        <w:top w:val="none" w:sz="0" w:space="0" w:color="auto"/>
        <w:left w:val="none" w:sz="0" w:space="0" w:color="auto"/>
        <w:bottom w:val="none" w:sz="0" w:space="0" w:color="auto"/>
        <w:right w:val="none" w:sz="0" w:space="0" w:color="auto"/>
      </w:divBdr>
    </w:div>
    <w:div w:id="1608582254">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29508701">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5471991">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48185080">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773283016">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04443192">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1022026">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3</cp:revision>
  <dcterms:created xsi:type="dcterms:W3CDTF">2024-01-19T15:49:00Z</dcterms:created>
  <dcterms:modified xsi:type="dcterms:W3CDTF">2024-01-19T15:49:00Z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6679a5-570c-40a6-a557-668bc9231a44_Enabled">
    <vt:lpwstr>true</vt:lpwstr>
  </property>
  <property fmtid="{D5CDD505-2E9C-101B-9397-08002B2CF9AE}" pid="3" name="MSIP_Label_f96679a5-570c-40a6-a557-668bc9231a44_SetDate">
    <vt:lpwstr>2024-01-12T09:56:33Z</vt:lpwstr>
  </property>
  <property fmtid="{D5CDD505-2E9C-101B-9397-08002B2CF9AE}" pid="4" name="MSIP_Label_f96679a5-570c-40a6-a557-668bc9231a44_Method">
    <vt:lpwstr>Standard</vt:lpwstr>
  </property>
  <property fmtid="{D5CDD505-2E9C-101B-9397-08002B2CF9AE}" pid="5" name="MSIP_Label_f96679a5-570c-40a6-a557-668bc9231a44_Name">
    <vt:lpwstr>Internal</vt:lpwstr>
  </property>
  <property fmtid="{D5CDD505-2E9C-101B-9397-08002B2CF9AE}" pid="6" name="MSIP_Label_f96679a5-570c-40a6-a557-668bc9231a44_SiteId">
    <vt:lpwstr>20f96ace-1eb4-4e2b-bd81-aabea267ccfb</vt:lpwstr>
  </property>
  <property fmtid="{D5CDD505-2E9C-101B-9397-08002B2CF9AE}" pid="7" name="MSIP_Label_f96679a5-570c-40a6-a557-668bc9231a44_ActionId">
    <vt:lpwstr>c9d9ad5b-01a6-4c2f-b9f7-b34e8b1f1405</vt:lpwstr>
  </property>
  <property fmtid="{D5CDD505-2E9C-101B-9397-08002B2CF9AE}" pid="8" name="MSIP_Label_f96679a5-570c-40a6-a557-668bc9231a44_ContentBits">
    <vt:lpwstr>0</vt:lpwstr>
  </property>
</Properties>
</file>