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2C4966DC" w:rsidR="004D5C05" w:rsidRDefault="0037581E" w:rsidP="00C127E7">
      <w:pPr>
        <w:rPr>
          <w:rFonts w:ascii="Arial" w:hAnsi="Arial" w:cs="Arial"/>
          <w:b/>
          <w:sz w:val="24"/>
          <w:szCs w:val="24"/>
        </w:rPr>
      </w:pPr>
      <w:r>
        <w:rPr>
          <w:rFonts w:ascii="Arial" w:hAnsi="Arial" w:cs="Arial"/>
          <w:b/>
          <w:sz w:val="24"/>
          <w:szCs w:val="24"/>
        </w:rPr>
        <w:t xml:space="preserve">Report of </w:t>
      </w:r>
      <w:r w:rsidR="004B6FF8">
        <w:rPr>
          <w:rFonts w:ascii="Arial" w:hAnsi="Arial" w:cs="Arial"/>
          <w:b/>
          <w:sz w:val="24"/>
          <w:szCs w:val="24"/>
        </w:rPr>
        <w:t>the Governance Committee</w:t>
      </w:r>
    </w:p>
    <w:p w14:paraId="5433B1E2" w14:textId="077E6361" w:rsidR="0037581E" w:rsidRPr="00581C1C" w:rsidRDefault="0037581E" w:rsidP="00C127E7">
      <w:pPr>
        <w:pStyle w:val="ListParagraph"/>
        <w:numPr>
          <w:ilvl w:val="0"/>
          <w:numId w:val="1"/>
        </w:numPr>
        <w:ind w:left="567" w:hanging="567"/>
        <w:rPr>
          <w:rFonts w:ascii="Arial" w:hAnsi="Arial" w:cs="Arial"/>
        </w:rPr>
      </w:pPr>
      <w:r w:rsidRPr="00581C1C">
        <w:rPr>
          <w:rFonts w:ascii="Arial" w:hAnsi="Arial" w:cs="Arial"/>
        </w:rPr>
        <w:t>Any recommendations on the reports that require a decision by full Council appear as separate items on the agenda</w:t>
      </w:r>
      <w:r w:rsidR="004B6FF8" w:rsidRPr="00581C1C">
        <w:rPr>
          <w:rFonts w:ascii="Arial" w:hAnsi="Arial" w:cs="Arial"/>
        </w:rPr>
        <w:t>.</w:t>
      </w:r>
      <w:r w:rsidR="00C127E7" w:rsidRPr="00581C1C">
        <w:rPr>
          <w:rFonts w:ascii="Arial" w:hAnsi="Arial" w:cs="Arial"/>
        </w:rPr>
        <w:br/>
      </w:r>
    </w:p>
    <w:p w14:paraId="0162AA2F" w14:textId="43F28243" w:rsidR="00C127E7" w:rsidRPr="00581C1C" w:rsidRDefault="00C127E7" w:rsidP="00C127E7">
      <w:pPr>
        <w:pStyle w:val="ListParagraph"/>
        <w:numPr>
          <w:ilvl w:val="0"/>
          <w:numId w:val="1"/>
        </w:numPr>
        <w:ind w:left="567" w:hanging="567"/>
        <w:rPr>
          <w:rFonts w:ascii="Arial" w:hAnsi="Arial" w:cs="Arial"/>
        </w:rPr>
      </w:pPr>
      <w:r w:rsidRPr="00581C1C">
        <w:rPr>
          <w:rFonts w:ascii="Arial" w:hAnsi="Arial" w:cs="Arial"/>
        </w:rPr>
        <w:t>Please note that the report may not</w:t>
      </w:r>
      <w:r w:rsidR="004B6FF8" w:rsidRPr="00581C1C">
        <w:rPr>
          <w:rFonts w:ascii="Arial" w:hAnsi="Arial" w:cs="Arial"/>
        </w:rPr>
        <w:t xml:space="preserve"> necessarily</w:t>
      </w:r>
      <w:r w:rsidRPr="00581C1C">
        <w:rPr>
          <w:rFonts w:ascii="Arial" w:hAnsi="Arial" w:cs="Arial"/>
        </w:rPr>
        <w:t xml:space="preserve"> reflect the wording used in the minutes</w:t>
      </w:r>
      <w:r w:rsidR="001C73D0">
        <w:rPr>
          <w:rFonts w:ascii="Arial" w:hAnsi="Arial" w:cs="Arial"/>
        </w:rPr>
        <w:t>.</w:t>
      </w:r>
    </w:p>
    <w:p w14:paraId="5F831691" w14:textId="50492CAD" w:rsidR="00C87C87" w:rsidRPr="00581C1C" w:rsidRDefault="00351663" w:rsidP="00C127E7">
      <w:pPr>
        <w:rPr>
          <w:rFonts w:ascii="Arial" w:hAnsi="Arial" w:cs="Arial"/>
          <w:b/>
        </w:rPr>
      </w:pPr>
      <w:bookmarkStart w:id="0" w:name="_Hlk56155553"/>
      <w:r w:rsidRPr="00581C1C">
        <w:rPr>
          <w:rFonts w:ascii="Arial" w:hAnsi="Arial" w:cs="Arial"/>
          <w:b/>
        </w:rPr>
        <w:t>Meeting</w:t>
      </w:r>
      <w:r w:rsidR="009E6254" w:rsidRPr="00581C1C">
        <w:rPr>
          <w:rFonts w:ascii="Arial" w:hAnsi="Arial" w:cs="Arial"/>
          <w:b/>
        </w:rPr>
        <w:t xml:space="preserve"> held on </w:t>
      </w:r>
      <w:r w:rsidR="004B6FF8" w:rsidRPr="00581C1C">
        <w:rPr>
          <w:rFonts w:ascii="Arial" w:hAnsi="Arial" w:cs="Arial"/>
          <w:b/>
        </w:rPr>
        <w:t>29</w:t>
      </w:r>
      <w:r w:rsidR="00C127E7" w:rsidRPr="00581C1C">
        <w:rPr>
          <w:rFonts w:ascii="Arial" w:hAnsi="Arial" w:cs="Arial"/>
          <w:b/>
        </w:rPr>
        <w:t xml:space="preserve"> November</w:t>
      </w:r>
      <w:r w:rsidR="009E6254" w:rsidRPr="00581C1C">
        <w:rPr>
          <w:rFonts w:ascii="Arial" w:hAnsi="Arial" w:cs="Arial"/>
          <w:b/>
        </w:rPr>
        <w:t xml:space="preserve"> 2022</w:t>
      </w:r>
    </w:p>
    <w:tbl>
      <w:tblPr>
        <w:tblW w:w="619" w:type="dxa"/>
        <w:tblInd w:w="-601" w:type="dxa"/>
        <w:tblLayout w:type="fixed"/>
        <w:tblLook w:val="04A0" w:firstRow="1" w:lastRow="0" w:firstColumn="1" w:lastColumn="0" w:noHBand="0" w:noVBand="1"/>
      </w:tblPr>
      <w:tblGrid>
        <w:gridCol w:w="619"/>
      </w:tblGrid>
      <w:tr w:rsidR="004B6FF8" w:rsidRPr="00581C1C" w14:paraId="4B77CC8E" w14:textId="77777777" w:rsidTr="004B6FF8">
        <w:tc>
          <w:tcPr>
            <w:tcW w:w="619" w:type="dxa"/>
            <w:hideMark/>
          </w:tcPr>
          <w:p w14:paraId="57435992" w14:textId="042DDF0B" w:rsidR="004B6FF8" w:rsidRPr="00581C1C" w:rsidRDefault="004B6FF8" w:rsidP="00C127E7">
            <w:pPr>
              <w:rPr>
                <w:rFonts w:cs="Arial"/>
                <w:b/>
              </w:rPr>
            </w:pPr>
          </w:p>
        </w:tc>
      </w:tr>
    </w:tbl>
    <w:p w14:paraId="5917036E" w14:textId="4FAE51FF" w:rsidR="00DC47E3" w:rsidRPr="00581C1C" w:rsidRDefault="00B12190" w:rsidP="004B6FF8">
      <w:pPr>
        <w:rPr>
          <w:rFonts w:ascii="Arial" w:hAnsi="Arial" w:cs="Arial"/>
          <w:b/>
          <w:bCs/>
        </w:rPr>
      </w:pPr>
      <w:r w:rsidRPr="00581C1C">
        <w:t> </w:t>
      </w:r>
      <w:r w:rsidR="004B6FF8" w:rsidRPr="00581C1C">
        <w:rPr>
          <w:rFonts w:ascii="Arial" w:hAnsi="Arial" w:cs="Arial"/>
          <w:b/>
          <w:bCs/>
        </w:rPr>
        <w:t>Audit Findings Report</w:t>
      </w:r>
    </w:p>
    <w:bookmarkEnd w:id="0"/>
    <w:p w14:paraId="732DBD59" w14:textId="10E5009D" w:rsidR="004B6FF8" w:rsidRPr="00581C1C" w:rsidRDefault="00C127E7" w:rsidP="007142EE">
      <w:pPr>
        <w:pStyle w:val="ListParagraph"/>
        <w:numPr>
          <w:ilvl w:val="0"/>
          <w:numId w:val="1"/>
        </w:numPr>
        <w:rPr>
          <w:rFonts w:ascii="Arial" w:eastAsia="Arial" w:hAnsi="Arial" w:cs="Arial"/>
        </w:rPr>
      </w:pPr>
      <w:r w:rsidRPr="00581C1C">
        <w:rPr>
          <w:rFonts w:ascii="Arial" w:hAnsi="Arial" w:cs="Arial"/>
        </w:rPr>
        <w:t>The C</w:t>
      </w:r>
      <w:r w:rsidR="004B6FF8" w:rsidRPr="00581C1C">
        <w:rPr>
          <w:rFonts w:ascii="Arial" w:hAnsi="Arial" w:cs="Arial"/>
        </w:rPr>
        <w:t xml:space="preserve">ouncil’s External Auditors, </w:t>
      </w:r>
      <w:r w:rsidR="004B6FF8" w:rsidRPr="00581C1C">
        <w:rPr>
          <w:rFonts w:ascii="Arial" w:hAnsi="Arial" w:cs="Arial"/>
          <w:lang w:val="en-US"/>
        </w:rPr>
        <w:t xml:space="preserve">Grant Thornton UK LLP, presented a report which provided members with its findings and conclusions relating to the statutory audit of the Council’s Statement of Accounts for the period ending 31 March 2022. </w:t>
      </w:r>
    </w:p>
    <w:p w14:paraId="3CC5E54F" w14:textId="3C554A52" w:rsidR="004B6FF8" w:rsidRPr="00581C1C" w:rsidRDefault="004B6FF8" w:rsidP="004B6FF8">
      <w:pPr>
        <w:pStyle w:val="ListParagraph"/>
        <w:ind w:left="502"/>
        <w:rPr>
          <w:rFonts w:ascii="Arial" w:eastAsia="Arial" w:hAnsi="Arial" w:cs="Arial"/>
        </w:rPr>
      </w:pPr>
    </w:p>
    <w:p w14:paraId="0EFAE9C9" w14:textId="77777777" w:rsidR="004B6FF8" w:rsidRPr="00581C1C" w:rsidRDefault="004B6FF8" w:rsidP="004B6FF8">
      <w:pPr>
        <w:pStyle w:val="ListParagraph"/>
        <w:numPr>
          <w:ilvl w:val="0"/>
          <w:numId w:val="1"/>
        </w:numPr>
        <w:rPr>
          <w:rFonts w:ascii="Arial" w:eastAsia="Arial" w:hAnsi="Arial" w:cs="Arial"/>
        </w:rPr>
      </w:pPr>
      <w:r w:rsidRPr="00581C1C">
        <w:rPr>
          <w:rFonts w:ascii="Arial" w:hAnsi="Arial" w:cs="Arial"/>
          <w:lang w:val="en-US"/>
        </w:rPr>
        <w:t>The External Auditor also referred to the recommendation at Appendix A (page 32) Cash to bank reconciliation. The issue was one of control (i.e. routine monthly reconciliations) and management had agreed to this.</w:t>
      </w:r>
    </w:p>
    <w:p w14:paraId="4AE76E94" w14:textId="4FF68EB0" w:rsidR="004B6FF8" w:rsidRPr="00581C1C" w:rsidRDefault="004B6FF8" w:rsidP="004B6FF8">
      <w:pPr>
        <w:pStyle w:val="ListParagraph"/>
        <w:ind w:left="502"/>
        <w:rPr>
          <w:rFonts w:ascii="Arial" w:eastAsia="Arial" w:hAnsi="Arial" w:cs="Arial"/>
        </w:rPr>
      </w:pPr>
    </w:p>
    <w:p w14:paraId="6CDCF846" w14:textId="77777777" w:rsidR="004B6FF8" w:rsidRPr="00581C1C" w:rsidRDefault="004B6FF8" w:rsidP="004B6FF8">
      <w:pPr>
        <w:pStyle w:val="ListParagraph"/>
        <w:numPr>
          <w:ilvl w:val="0"/>
          <w:numId w:val="1"/>
        </w:numPr>
        <w:rPr>
          <w:rFonts w:ascii="Arial" w:eastAsia="Arial" w:hAnsi="Arial" w:cs="Arial"/>
        </w:rPr>
      </w:pPr>
      <w:r w:rsidRPr="00581C1C">
        <w:rPr>
          <w:rFonts w:ascii="Arial" w:hAnsi="Arial" w:cs="Arial"/>
          <w:lang w:val="en-US"/>
        </w:rPr>
        <w:t xml:space="preserve">Members queried as to the size or percentage of the small account monies. The External Auditor explained that the matter related to a small account of the Council’s rather than the main account and it did not affect the overall position. </w:t>
      </w:r>
    </w:p>
    <w:p w14:paraId="2B8A0433" w14:textId="4662D24F" w:rsidR="004B6FF8" w:rsidRPr="00581C1C" w:rsidRDefault="004B6FF8" w:rsidP="004B6FF8">
      <w:pPr>
        <w:pStyle w:val="ListParagraph"/>
        <w:ind w:left="502"/>
        <w:rPr>
          <w:rFonts w:ascii="Arial" w:eastAsia="Arial" w:hAnsi="Arial" w:cs="Arial"/>
        </w:rPr>
      </w:pPr>
      <w:r w:rsidRPr="00581C1C">
        <w:rPr>
          <w:rFonts w:ascii="Arial" w:hAnsi="Arial" w:cs="Arial"/>
          <w:lang w:val="en-US"/>
        </w:rPr>
        <w:t xml:space="preserve">It was something the Council is still working </w:t>
      </w:r>
      <w:r w:rsidR="004C6A90" w:rsidRPr="00581C1C">
        <w:rPr>
          <w:rFonts w:ascii="Arial" w:hAnsi="Arial" w:cs="Arial"/>
          <w:lang w:val="en-US"/>
        </w:rPr>
        <w:t xml:space="preserve">on </w:t>
      </w:r>
      <w:r w:rsidRPr="00581C1C">
        <w:rPr>
          <w:rFonts w:ascii="Arial" w:hAnsi="Arial" w:cs="Arial"/>
          <w:lang w:val="en-US"/>
        </w:rPr>
        <w:t>following the recommendation the previous year and was expected to be completed by 31 December 2022. It was agreed that the Director of Finance provide information to members regarding the specific details of the small account in terms of the size of transactions / balances outside the meeting.</w:t>
      </w:r>
    </w:p>
    <w:p w14:paraId="0B4180F4" w14:textId="741E80F4" w:rsidR="004B6FF8" w:rsidRPr="00581C1C" w:rsidRDefault="004B6FF8" w:rsidP="004B6FF8">
      <w:pPr>
        <w:pStyle w:val="ListParagraph"/>
        <w:ind w:left="502"/>
        <w:rPr>
          <w:rFonts w:ascii="Arial" w:eastAsia="Arial" w:hAnsi="Arial" w:cs="Arial"/>
        </w:rPr>
      </w:pPr>
      <w:r w:rsidRPr="00581C1C">
        <w:rPr>
          <w:rFonts w:ascii="Arial" w:hAnsi="Arial" w:cs="Arial"/>
          <w:lang w:val="en-US"/>
        </w:rPr>
        <w:t> </w:t>
      </w:r>
    </w:p>
    <w:p w14:paraId="6AFCD978" w14:textId="675796BE" w:rsidR="004B6FF8" w:rsidRPr="00581C1C" w:rsidRDefault="004B6FF8" w:rsidP="004B6FF8">
      <w:pPr>
        <w:pStyle w:val="ListParagraph"/>
        <w:numPr>
          <w:ilvl w:val="0"/>
          <w:numId w:val="1"/>
        </w:numPr>
        <w:rPr>
          <w:rFonts w:ascii="Arial" w:eastAsia="Arial" w:hAnsi="Arial" w:cs="Arial"/>
        </w:rPr>
      </w:pPr>
      <w:r w:rsidRPr="00581C1C">
        <w:rPr>
          <w:rFonts w:ascii="Arial" w:hAnsi="Arial" w:cs="Arial"/>
          <w:lang w:val="en-US"/>
        </w:rPr>
        <w:t> </w:t>
      </w:r>
      <w:r w:rsidR="003F4AF9" w:rsidRPr="00581C1C">
        <w:rPr>
          <w:rFonts w:ascii="Arial" w:hAnsi="Arial" w:cs="Arial"/>
          <w:lang w:val="en-US"/>
        </w:rPr>
        <w:t xml:space="preserve">The Committee noted the report. </w:t>
      </w:r>
    </w:p>
    <w:p w14:paraId="012FBFB7" w14:textId="684D8276" w:rsidR="004B6FF8" w:rsidRPr="003F4AF9" w:rsidRDefault="004B6FF8" w:rsidP="003F4AF9">
      <w:pPr>
        <w:ind w:left="142"/>
        <w:rPr>
          <w:rFonts w:ascii="Arial" w:eastAsia="Times New Roman" w:hAnsi="Arial" w:cs="Arial"/>
          <w:lang w:val="en-US"/>
        </w:rPr>
      </w:pPr>
    </w:p>
    <w:p w14:paraId="757F08E2" w14:textId="53962F22" w:rsidR="004B6FF8" w:rsidRPr="005B5082" w:rsidRDefault="005B5082" w:rsidP="004B6FF8">
      <w:pPr>
        <w:rPr>
          <w:rFonts w:ascii="Arial" w:eastAsia="Arial" w:hAnsi="Arial" w:cs="Arial"/>
          <w:b/>
          <w:bCs/>
          <w:sz w:val="24"/>
          <w:szCs w:val="24"/>
        </w:rPr>
      </w:pPr>
      <w:r w:rsidRPr="005B5082">
        <w:rPr>
          <w:rFonts w:ascii="Arial" w:eastAsia="Arial" w:hAnsi="Arial" w:cs="Arial"/>
          <w:b/>
          <w:bCs/>
          <w:sz w:val="24"/>
          <w:szCs w:val="24"/>
        </w:rPr>
        <w:t>Statement of Accounts 2021/22</w:t>
      </w:r>
    </w:p>
    <w:p w14:paraId="5FC816E1" w14:textId="620CA780" w:rsidR="00581C1C" w:rsidRPr="00581C1C" w:rsidRDefault="00581C1C" w:rsidP="00581C1C">
      <w:pPr>
        <w:pStyle w:val="ListParagraph"/>
        <w:numPr>
          <w:ilvl w:val="0"/>
          <w:numId w:val="1"/>
        </w:numPr>
        <w:rPr>
          <w:rFonts w:ascii="Arial" w:eastAsia="Arial" w:hAnsi="Arial" w:cs="Arial"/>
        </w:rPr>
      </w:pPr>
      <w:r w:rsidRPr="00581C1C">
        <w:rPr>
          <w:rFonts w:ascii="Arial" w:hAnsi="Arial" w:cs="Arial"/>
        </w:rPr>
        <w:t>The Director of Finance presented the audited Statement of Accounts 2021/22 for approval.</w:t>
      </w:r>
    </w:p>
    <w:p w14:paraId="1A82D609" w14:textId="77777777" w:rsidR="00581C1C" w:rsidRPr="00581C1C" w:rsidRDefault="00581C1C" w:rsidP="00581C1C">
      <w:pPr>
        <w:pStyle w:val="ListParagraph"/>
        <w:ind w:left="502"/>
        <w:rPr>
          <w:rFonts w:ascii="Arial" w:eastAsia="Arial" w:hAnsi="Arial" w:cs="Arial"/>
        </w:rPr>
      </w:pPr>
    </w:p>
    <w:p w14:paraId="3D2F9850" w14:textId="77777777" w:rsidR="00581C1C" w:rsidRPr="00581C1C" w:rsidRDefault="00581C1C" w:rsidP="00581C1C">
      <w:pPr>
        <w:pStyle w:val="ListParagraph"/>
        <w:numPr>
          <w:ilvl w:val="0"/>
          <w:numId w:val="1"/>
        </w:numPr>
        <w:rPr>
          <w:rFonts w:ascii="Arial" w:eastAsia="Arial" w:hAnsi="Arial" w:cs="Arial"/>
        </w:rPr>
      </w:pPr>
      <w:r w:rsidRPr="00581C1C">
        <w:rPr>
          <w:rFonts w:ascii="Arial" w:hAnsi="Arial" w:cs="Arial"/>
        </w:rPr>
        <w:t>She reported that the Independent Auditor’s Report, once completed was to be included on page 89 of the Statement and that the Council was on target for publication of the document on the website by Christmas.</w:t>
      </w:r>
    </w:p>
    <w:p w14:paraId="65F319FD" w14:textId="2859C667" w:rsidR="00581C1C" w:rsidRPr="00581C1C" w:rsidRDefault="00581C1C" w:rsidP="00581C1C">
      <w:pPr>
        <w:pStyle w:val="ListParagraph"/>
        <w:ind w:left="502"/>
        <w:rPr>
          <w:rFonts w:ascii="Arial" w:eastAsia="Arial" w:hAnsi="Arial" w:cs="Arial"/>
        </w:rPr>
      </w:pPr>
    </w:p>
    <w:p w14:paraId="3A38F273" w14:textId="7726F957" w:rsidR="00581C1C" w:rsidRPr="00B01508" w:rsidRDefault="00581C1C" w:rsidP="00581C1C">
      <w:pPr>
        <w:pStyle w:val="ListParagraph"/>
        <w:numPr>
          <w:ilvl w:val="0"/>
          <w:numId w:val="1"/>
        </w:numPr>
        <w:rPr>
          <w:rFonts w:ascii="Arial" w:eastAsia="Arial" w:hAnsi="Arial" w:cs="Arial"/>
        </w:rPr>
      </w:pPr>
      <w:r w:rsidRPr="00581C1C">
        <w:rPr>
          <w:rFonts w:ascii="Arial" w:hAnsi="Arial" w:cs="Arial"/>
        </w:rPr>
        <w:t>Members raised a query in relation to figures on page 95 in that the cost of council services was stated to be £21.7 million this year compared to £11.8 million last year. The Director of Finance agreed to provide a detailed explanation to members outside the meeting.</w:t>
      </w:r>
    </w:p>
    <w:p w14:paraId="6C543249" w14:textId="77777777" w:rsidR="00B01508" w:rsidRPr="00B01508" w:rsidRDefault="00B01508" w:rsidP="00B01508">
      <w:pPr>
        <w:pStyle w:val="ListParagraph"/>
        <w:rPr>
          <w:rFonts w:ascii="Arial" w:eastAsia="Arial" w:hAnsi="Arial" w:cs="Arial"/>
        </w:rPr>
      </w:pPr>
    </w:p>
    <w:p w14:paraId="2D388507" w14:textId="77777777" w:rsidR="00B01508" w:rsidRPr="00581C1C" w:rsidRDefault="00B01508" w:rsidP="00B01508">
      <w:pPr>
        <w:pStyle w:val="ListParagraph"/>
        <w:ind w:left="502"/>
        <w:rPr>
          <w:rFonts w:ascii="Arial" w:eastAsia="Arial" w:hAnsi="Arial" w:cs="Arial"/>
        </w:rPr>
      </w:pPr>
    </w:p>
    <w:p w14:paraId="61731303" w14:textId="77777777" w:rsidR="00581C1C" w:rsidRPr="00514DED" w:rsidRDefault="00581C1C" w:rsidP="00581C1C">
      <w:pPr>
        <w:pStyle w:val="ListParagraph"/>
        <w:numPr>
          <w:ilvl w:val="0"/>
          <w:numId w:val="1"/>
        </w:numPr>
        <w:rPr>
          <w:rFonts w:ascii="Arial" w:eastAsia="Arial" w:hAnsi="Arial" w:cs="Arial"/>
        </w:rPr>
      </w:pPr>
      <w:r w:rsidRPr="00514DED">
        <w:rPr>
          <w:rFonts w:ascii="Arial" w:hAnsi="Arial" w:cs="Arial"/>
        </w:rPr>
        <w:t>A query was made in relation to the Risk Register on page 78 – RO6 Capacity and skills i.e. would it affect ability to deliver the Capital Programme. The Director of Finance explained that the data presented related to quarter 4 of 2021/22. She gave assurances that the position had moved on since then and that this would be reported in due course.</w:t>
      </w:r>
    </w:p>
    <w:p w14:paraId="16AD43D1" w14:textId="3A486CCA" w:rsidR="00581C1C" w:rsidRPr="00514DED" w:rsidRDefault="00581C1C" w:rsidP="00514DED">
      <w:pPr>
        <w:pStyle w:val="ListParagraph"/>
        <w:ind w:left="502"/>
        <w:rPr>
          <w:rFonts w:ascii="Arial" w:eastAsia="Arial" w:hAnsi="Arial" w:cs="Arial"/>
          <w:sz w:val="24"/>
          <w:szCs w:val="24"/>
        </w:rPr>
      </w:pPr>
    </w:p>
    <w:p w14:paraId="100F67B8" w14:textId="77777777" w:rsidR="00581C1C" w:rsidRPr="00514DED" w:rsidRDefault="00581C1C" w:rsidP="00581C1C">
      <w:pPr>
        <w:pStyle w:val="ListParagraph"/>
        <w:numPr>
          <w:ilvl w:val="0"/>
          <w:numId w:val="1"/>
        </w:numPr>
        <w:rPr>
          <w:rFonts w:ascii="Arial" w:eastAsia="Arial" w:hAnsi="Arial" w:cs="Arial"/>
        </w:rPr>
      </w:pPr>
      <w:r w:rsidRPr="00514DED">
        <w:rPr>
          <w:rFonts w:ascii="Arial" w:hAnsi="Arial" w:cs="Arial"/>
        </w:rPr>
        <w:t xml:space="preserve">As regards the pooling arrangements for business rates next year, the Director of Finance indicated that councils had been informed of a complete change in 2023/24 but so far this has not progressed. Therefore all Lancashire Authorities have been asked if they wish to continue with the pooling arrangements. South Ribble have submitted an expression of interest and are awaiting the outcome following the provisional Government Settlement expected around 22/23 December. </w:t>
      </w:r>
    </w:p>
    <w:p w14:paraId="3A0AB990" w14:textId="224940D0" w:rsidR="00581C1C" w:rsidRPr="00514DED" w:rsidRDefault="00581C1C" w:rsidP="00514DED">
      <w:pPr>
        <w:pStyle w:val="ListParagraph"/>
        <w:ind w:left="502"/>
        <w:rPr>
          <w:rFonts w:ascii="Arial" w:eastAsia="Arial" w:hAnsi="Arial" w:cs="Arial"/>
        </w:rPr>
      </w:pPr>
    </w:p>
    <w:p w14:paraId="487D9A3C" w14:textId="7D89D795" w:rsidR="00581C1C" w:rsidRPr="0021168C" w:rsidRDefault="0021168C" w:rsidP="00581C1C">
      <w:pPr>
        <w:pStyle w:val="ListParagraph"/>
        <w:numPr>
          <w:ilvl w:val="0"/>
          <w:numId w:val="1"/>
        </w:numPr>
        <w:rPr>
          <w:rFonts w:ascii="Arial" w:eastAsia="Arial" w:hAnsi="Arial" w:cs="Arial"/>
        </w:rPr>
      </w:pPr>
      <w:r w:rsidRPr="0021168C">
        <w:rPr>
          <w:rFonts w:ascii="Arial" w:hAnsi="Arial" w:cs="Arial"/>
        </w:rPr>
        <w:t>The Committee resolved the following:</w:t>
      </w:r>
    </w:p>
    <w:p w14:paraId="1592D03C" w14:textId="77777777" w:rsidR="00581C1C" w:rsidRPr="0021168C" w:rsidRDefault="00581C1C" w:rsidP="00514DED">
      <w:pPr>
        <w:pStyle w:val="ListParagraph"/>
        <w:ind w:left="502"/>
        <w:rPr>
          <w:rFonts w:ascii="Arial" w:eastAsia="Arial" w:hAnsi="Arial" w:cs="Arial"/>
        </w:rPr>
      </w:pPr>
      <w:r w:rsidRPr="0021168C">
        <w:rPr>
          <w:rFonts w:ascii="Arial" w:hAnsi="Arial" w:cs="Arial"/>
        </w:rPr>
        <w:t> </w:t>
      </w:r>
    </w:p>
    <w:tbl>
      <w:tblPr>
        <w:tblW w:w="0" w:type="auto"/>
        <w:tblCellMar>
          <w:left w:w="0" w:type="dxa"/>
          <w:right w:w="0" w:type="dxa"/>
        </w:tblCellMar>
        <w:tblLook w:val="05E0" w:firstRow="1" w:lastRow="1" w:firstColumn="1" w:lastColumn="1" w:noHBand="0" w:noVBand="1"/>
      </w:tblPr>
      <w:tblGrid>
        <w:gridCol w:w="9026"/>
      </w:tblGrid>
      <w:tr w:rsidR="00581C1C" w:rsidRPr="00514DED" w14:paraId="2CC39B3C" w14:textId="77777777" w:rsidTr="00581C1C">
        <w:tc>
          <w:tcPr>
            <w:tcW w:w="9242" w:type="dxa"/>
            <w:tcMar>
              <w:top w:w="0" w:type="dxa"/>
              <w:left w:w="113" w:type="dxa"/>
              <w:bottom w:w="0" w:type="dxa"/>
              <w:right w:w="113" w:type="dxa"/>
            </w:tcMar>
            <w:hideMark/>
          </w:tcPr>
          <w:p w14:paraId="3C4B3882" w14:textId="77777777" w:rsidR="00581C1C" w:rsidRPr="00514DED" w:rsidRDefault="00581C1C">
            <w:pPr>
              <w:rPr>
                <w:rFonts w:ascii="Arial" w:eastAsia="Arial" w:hAnsi="Arial" w:cs="Arial"/>
              </w:rPr>
            </w:pPr>
          </w:p>
        </w:tc>
      </w:tr>
      <w:tr w:rsidR="00581C1C" w:rsidRPr="0021168C" w14:paraId="343F0A54" w14:textId="77777777" w:rsidTr="00581C1C">
        <w:tc>
          <w:tcPr>
            <w:tcW w:w="9242" w:type="dxa"/>
            <w:tcMar>
              <w:top w:w="0" w:type="dxa"/>
              <w:left w:w="113" w:type="dxa"/>
              <w:bottom w:w="0" w:type="dxa"/>
              <w:right w:w="113" w:type="dxa"/>
            </w:tcMar>
            <w:hideMark/>
          </w:tcPr>
          <w:p w14:paraId="672715A0" w14:textId="1FC0809E" w:rsidR="00581C1C" w:rsidRPr="0021168C" w:rsidRDefault="00581C1C">
            <w:pPr>
              <w:pStyle w:val="pMsoNormal"/>
              <w:ind w:left="567" w:hanging="567"/>
              <w:jc w:val="both"/>
              <w:rPr>
                <w:color w:val="000000"/>
                <w:sz w:val="22"/>
                <w:szCs w:val="22"/>
                <w:lang w:val="en-GB" w:eastAsia="en-GB"/>
              </w:rPr>
            </w:pPr>
            <w:r w:rsidRPr="0021168C">
              <w:rPr>
                <w:color w:val="000000"/>
                <w:sz w:val="22"/>
                <w:szCs w:val="22"/>
                <w:lang w:val="en-GB" w:eastAsia="en-GB"/>
              </w:rPr>
              <w:t>1.</w:t>
            </w:r>
            <w:r w:rsidRPr="0021168C">
              <w:rPr>
                <w:rFonts w:eastAsia="Times New Roman"/>
                <w:color w:val="000000"/>
                <w:sz w:val="22"/>
                <w:szCs w:val="22"/>
                <w:lang w:val="en-GB" w:eastAsia="en-GB"/>
              </w:rPr>
              <w:t>      </w:t>
            </w:r>
            <w:r w:rsidRPr="0021168C">
              <w:rPr>
                <w:color w:val="000000"/>
                <w:sz w:val="22"/>
                <w:szCs w:val="22"/>
                <w:lang w:val="en-GB" w:eastAsia="en-GB"/>
              </w:rPr>
              <w:t>To approve the audited Statement of Accounts for 2021/22 (Appendix A), subject to any amendments which, in the opinion of the Director of Finance (Section 151 Officer), are minor in nature, i.e. defined as non-material to the financial position of the council;</w:t>
            </w:r>
          </w:p>
          <w:p w14:paraId="61758A3E" w14:textId="77777777" w:rsidR="00581C1C" w:rsidRPr="0021168C" w:rsidRDefault="00581C1C">
            <w:pPr>
              <w:pStyle w:val="pMsoNormal"/>
              <w:ind w:left="567"/>
              <w:jc w:val="both"/>
              <w:rPr>
                <w:color w:val="000000"/>
                <w:sz w:val="22"/>
                <w:szCs w:val="22"/>
                <w:lang w:val="en-GB" w:eastAsia="en-GB"/>
              </w:rPr>
            </w:pPr>
            <w:r w:rsidRPr="0021168C">
              <w:rPr>
                <w:color w:val="000000"/>
                <w:sz w:val="22"/>
                <w:szCs w:val="22"/>
                <w:lang w:val="en-GB" w:eastAsia="en-GB"/>
              </w:rPr>
              <w:t> </w:t>
            </w:r>
          </w:p>
          <w:p w14:paraId="754554AC" w14:textId="6E85BE00" w:rsidR="00581C1C" w:rsidRPr="0021168C" w:rsidRDefault="00581C1C">
            <w:pPr>
              <w:pStyle w:val="pMsoNormal"/>
              <w:ind w:left="567" w:hanging="567"/>
              <w:jc w:val="both"/>
              <w:rPr>
                <w:color w:val="000000"/>
                <w:sz w:val="22"/>
                <w:szCs w:val="22"/>
                <w:lang w:val="en-GB" w:eastAsia="en-GB"/>
              </w:rPr>
            </w:pPr>
            <w:r w:rsidRPr="0021168C">
              <w:rPr>
                <w:color w:val="000000"/>
                <w:sz w:val="22"/>
                <w:szCs w:val="22"/>
                <w:lang w:val="en-GB" w:eastAsia="en-GB"/>
              </w:rPr>
              <w:t>2.</w:t>
            </w:r>
            <w:r w:rsidRPr="0021168C">
              <w:rPr>
                <w:rFonts w:eastAsia="Times New Roman"/>
                <w:color w:val="000000"/>
                <w:sz w:val="22"/>
                <w:szCs w:val="22"/>
                <w:lang w:val="en-GB" w:eastAsia="en-GB"/>
              </w:rPr>
              <w:t>      </w:t>
            </w:r>
            <w:r w:rsidRPr="0021168C">
              <w:rPr>
                <w:color w:val="000000"/>
                <w:sz w:val="22"/>
                <w:szCs w:val="22"/>
                <w:lang w:val="en-GB" w:eastAsia="en-GB"/>
              </w:rPr>
              <w:t>To delegate authority to the Director of Finance, in consultation with the Chair of Governance Committee, to make such amendments;</w:t>
            </w:r>
          </w:p>
          <w:p w14:paraId="7FCE36C1" w14:textId="77777777" w:rsidR="00581C1C" w:rsidRPr="0021168C" w:rsidRDefault="00581C1C">
            <w:pPr>
              <w:pStyle w:val="pMsoNormal"/>
              <w:ind w:left="567"/>
              <w:jc w:val="both"/>
              <w:rPr>
                <w:color w:val="000000"/>
                <w:sz w:val="22"/>
                <w:szCs w:val="22"/>
                <w:lang w:val="en-GB" w:eastAsia="en-GB"/>
              </w:rPr>
            </w:pPr>
            <w:r w:rsidRPr="0021168C">
              <w:rPr>
                <w:color w:val="000000"/>
                <w:sz w:val="22"/>
                <w:szCs w:val="22"/>
                <w:lang w:val="en-GB" w:eastAsia="en-GB"/>
              </w:rPr>
              <w:t> </w:t>
            </w:r>
          </w:p>
          <w:p w14:paraId="25177616" w14:textId="025ACF6C" w:rsidR="00581C1C" w:rsidRPr="0021168C" w:rsidRDefault="00581C1C">
            <w:pPr>
              <w:pStyle w:val="pMsoNormal"/>
              <w:ind w:left="567" w:hanging="567"/>
              <w:jc w:val="both"/>
              <w:rPr>
                <w:color w:val="000000"/>
                <w:sz w:val="22"/>
                <w:szCs w:val="22"/>
                <w:lang w:val="en-GB" w:eastAsia="en-GB"/>
              </w:rPr>
            </w:pPr>
            <w:r w:rsidRPr="0021168C">
              <w:rPr>
                <w:color w:val="000000"/>
                <w:sz w:val="22"/>
                <w:szCs w:val="22"/>
                <w:lang w:val="en-GB" w:eastAsia="en-GB"/>
              </w:rPr>
              <w:t>3.</w:t>
            </w:r>
            <w:r w:rsidRPr="0021168C">
              <w:rPr>
                <w:rFonts w:eastAsia="Times New Roman"/>
                <w:color w:val="000000"/>
                <w:sz w:val="22"/>
                <w:szCs w:val="22"/>
                <w:lang w:val="en-GB" w:eastAsia="en-GB"/>
              </w:rPr>
              <w:t>      </w:t>
            </w:r>
            <w:r w:rsidRPr="0021168C">
              <w:rPr>
                <w:color w:val="000000"/>
                <w:sz w:val="22"/>
                <w:szCs w:val="22"/>
                <w:lang w:val="en-GB" w:eastAsia="en-GB"/>
              </w:rPr>
              <w:t>If the Director of Finance is of the opinion that any such amendments are material to the financial position of the council, to reconvene the Governance Committee to approve the new Statement of Accounts;</w:t>
            </w:r>
          </w:p>
          <w:p w14:paraId="1019FA18" w14:textId="77777777" w:rsidR="00581C1C" w:rsidRPr="0021168C" w:rsidRDefault="00581C1C">
            <w:pPr>
              <w:pStyle w:val="pMsoNormal"/>
              <w:ind w:left="567"/>
              <w:jc w:val="both"/>
              <w:rPr>
                <w:color w:val="000000"/>
                <w:sz w:val="22"/>
                <w:szCs w:val="22"/>
                <w:lang w:val="en-GB" w:eastAsia="en-GB"/>
              </w:rPr>
            </w:pPr>
            <w:r w:rsidRPr="0021168C">
              <w:rPr>
                <w:color w:val="000000"/>
                <w:sz w:val="22"/>
                <w:szCs w:val="22"/>
                <w:lang w:val="en-GB" w:eastAsia="en-GB"/>
              </w:rPr>
              <w:t> </w:t>
            </w:r>
          </w:p>
          <w:p w14:paraId="4F9C24DD" w14:textId="7558D982" w:rsidR="00581C1C" w:rsidRPr="0021168C" w:rsidRDefault="00581C1C">
            <w:pPr>
              <w:pStyle w:val="pMsoNormal"/>
              <w:ind w:left="567" w:hanging="567"/>
              <w:jc w:val="both"/>
              <w:rPr>
                <w:color w:val="000000"/>
                <w:sz w:val="22"/>
                <w:szCs w:val="22"/>
                <w:lang w:val="en-GB" w:eastAsia="en-GB"/>
              </w:rPr>
            </w:pPr>
            <w:r w:rsidRPr="0021168C">
              <w:rPr>
                <w:color w:val="000000"/>
                <w:sz w:val="22"/>
                <w:szCs w:val="22"/>
                <w:lang w:val="en-GB" w:eastAsia="en-GB"/>
              </w:rPr>
              <w:t>4.</w:t>
            </w:r>
            <w:r w:rsidRPr="0021168C">
              <w:rPr>
                <w:rFonts w:eastAsia="Times New Roman"/>
                <w:color w:val="000000"/>
                <w:sz w:val="22"/>
                <w:szCs w:val="22"/>
                <w:lang w:val="en-GB" w:eastAsia="en-GB"/>
              </w:rPr>
              <w:t>      </w:t>
            </w:r>
            <w:r w:rsidRPr="0021168C">
              <w:rPr>
                <w:color w:val="000000"/>
                <w:sz w:val="22"/>
                <w:szCs w:val="22"/>
                <w:lang w:val="en-GB" w:eastAsia="en-GB"/>
              </w:rPr>
              <w:t>To authorise the Director of Finance and Chair of Governance Committee to sign the Letter of Representation (Appendix B).</w:t>
            </w:r>
          </w:p>
        </w:tc>
      </w:tr>
    </w:tbl>
    <w:p w14:paraId="254B07E7" w14:textId="7D978E97" w:rsidR="00C127E7" w:rsidRPr="0021168C" w:rsidRDefault="00C127E7" w:rsidP="0021168C">
      <w:pPr>
        <w:rPr>
          <w:rFonts w:ascii="Arial" w:eastAsia="Arial" w:hAnsi="Arial" w:cs="Arial"/>
        </w:rPr>
      </w:pPr>
    </w:p>
    <w:p w14:paraId="4A7B005C" w14:textId="06A0CC24" w:rsidR="00C127E7" w:rsidRPr="00344E8E" w:rsidRDefault="00344E8E" w:rsidP="00344E8E">
      <w:pPr>
        <w:rPr>
          <w:rFonts w:ascii="Arial" w:eastAsia="Arial" w:hAnsi="Arial" w:cs="Arial"/>
          <w:b/>
          <w:bCs/>
          <w:sz w:val="24"/>
          <w:szCs w:val="24"/>
        </w:rPr>
      </w:pPr>
      <w:r w:rsidRPr="00344E8E">
        <w:rPr>
          <w:rFonts w:ascii="Arial" w:hAnsi="Arial" w:cs="Arial"/>
          <w:b/>
          <w:bCs/>
          <w:sz w:val="24"/>
          <w:szCs w:val="24"/>
        </w:rPr>
        <w:t xml:space="preserve">Treasury Management </w:t>
      </w:r>
      <w:proofErr w:type="spellStart"/>
      <w:r w:rsidRPr="00344E8E">
        <w:rPr>
          <w:rFonts w:ascii="Arial" w:hAnsi="Arial" w:cs="Arial"/>
          <w:b/>
          <w:bCs/>
          <w:sz w:val="24"/>
          <w:szCs w:val="24"/>
        </w:rPr>
        <w:t>Mid Year</w:t>
      </w:r>
      <w:proofErr w:type="spellEnd"/>
      <w:r w:rsidRPr="00344E8E">
        <w:rPr>
          <w:rFonts w:ascii="Arial" w:hAnsi="Arial" w:cs="Arial"/>
          <w:b/>
          <w:bCs/>
          <w:sz w:val="24"/>
          <w:szCs w:val="24"/>
        </w:rPr>
        <w:t xml:space="preserve"> Review 2022/2023</w:t>
      </w:r>
      <w:r w:rsidR="00C127E7" w:rsidRPr="00344E8E">
        <w:rPr>
          <w:rFonts w:ascii="Arial" w:hAnsi="Arial" w:cs="Arial"/>
          <w:b/>
          <w:bCs/>
          <w:sz w:val="24"/>
          <w:szCs w:val="24"/>
        </w:rPr>
        <w:t> </w:t>
      </w:r>
    </w:p>
    <w:p w14:paraId="15205017" w14:textId="77777777" w:rsidR="00344E8E" w:rsidRPr="00344E8E" w:rsidRDefault="00344E8E" w:rsidP="00344E8E">
      <w:pPr>
        <w:pStyle w:val="ListParagraph"/>
        <w:numPr>
          <w:ilvl w:val="0"/>
          <w:numId w:val="1"/>
        </w:numPr>
        <w:rPr>
          <w:rFonts w:ascii="Arial" w:eastAsia="Arial" w:hAnsi="Arial" w:cs="Arial"/>
        </w:rPr>
      </w:pPr>
      <w:r w:rsidRPr="00344E8E">
        <w:rPr>
          <w:rFonts w:ascii="Arial" w:hAnsi="Arial" w:cs="Arial"/>
        </w:rPr>
        <w:t>The Deputy Director of Finance presented a report on Treasury Management Performance and compliance with Prudential Indicators for the period ending 30 September 2022. The report also presented monitoring figures for the quarter ending 30 September 2022, including updated interest rate forecasts from Link Asset Services.</w:t>
      </w:r>
    </w:p>
    <w:p w14:paraId="13AD35C2" w14:textId="546FA8C8" w:rsidR="00344E8E" w:rsidRPr="00344E8E" w:rsidRDefault="00344E8E" w:rsidP="008B5A7E">
      <w:pPr>
        <w:pStyle w:val="ListParagraph"/>
        <w:ind w:left="502"/>
        <w:rPr>
          <w:rFonts w:eastAsia="Arial" w:cs="Arial"/>
        </w:rPr>
      </w:pPr>
    </w:p>
    <w:p w14:paraId="1A7B59F9" w14:textId="07564D64" w:rsidR="00C127E7" w:rsidRPr="008B5A7E" w:rsidRDefault="008B5A7E" w:rsidP="00C127E7">
      <w:pPr>
        <w:pStyle w:val="ListParagraph"/>
        <w:numPr>
          <w:ilvl w:val="0"/>
          <w:numId w:val="1"/>
        </w:numPr>
        <w:rPr>
          <w:rFonts w:ascii="Arial" w:eastAsia="Arial" w:hAnsi="Arial" w:cs="Arial"/>
        </w:rPr>
      </w:pPr>
      <w:r w:rsidRPr="008B5A7E">
        <w:rPr>
          <w:rFonts w:ascii="Arial" w:hAnsi="Arial" w:cs="Arial"/>
        </w:rPr>
        <w:t>The Committee noted the report.</w:t>
      </w:r>
      <w:r w:rsidR="00C127E7" w:rsidRPr="008B5A7E">
        <w:rPr>
          <w:rFonts w:ascii="Arial" w:hAnsi="Arial" w:cs="Arial"/>
        </w:rPr>
        <w:br/>
      </w:r>
    </w:p>
    <w:p w14:paraId="53FC7A3B" w14:textId="16024177" w:rsidR="00495D7E" w:rsidRPr="000F00C3" w:rsidRDefault="004875AA" w:rsidP="00C127E7">
      <w:pPr>
        <w:rPr>
          <w:rFonts w:ascii="Arial" w:hAnsi="Arial" w:cs="Arial"/>
          <w:b/>
          <w:bCs/>
          <w:iCs/>
          <w:sz w:val="24"/>
          <w:szCs w:val="24"/>
        </w:rPr>
      </w:pPr>
      <w:r w:rsidRPr="000F00C3">
        <w:rPr>
          <w:rFonts w:ascii="Arial" w:hAnsi="Arial" w:cs="Arial"/>
          <w:b/>
          <w:bCs/>
          <w:sz w:val="24"/>
          <w:szCs w:val="24"/>
        </w:rPr>
        <w:t> </w:t>
      </w:r>
      <w:r w:rsidR="00496675">
        <w:rPr>
          <w:rFonts w:ascii="Arial" w:hAnsi="Arial" w:cs="Arial"/>
          <w:b/>
          <w:bCs/>
          <w:sz w:val="24"/>
          <w:szCs w:val="24"/>
        </w:rPr>
        <w:t>Constitution – Planning Committee</w:t>
      </w:r>
    </w:p>
    <w:p w14:paraId="54A22A22" w14:textId="13DEADFC" w:rsidR="00496675" w:rsidRPr="00496675" w:rsidRDefault="00496675" w:rsidP="00496675">
      <w:pPr>
        <w:pStyle w:val="ListParagraph"/>
        <w:numPr>
          <w:ilvl w:val="0"/>
          <w:numId w:val="1"/>
        </w:numPr>
        <w:rPr>
          <w:rFonts w:ascii="Arial" w:eastAsia="Arial" w:hAnsi="Arial" w:cs="Arial"/>
        </w:rPr>
      </w:pPr>
      <w:r w:rsidRPr="00496675">
        <w:rPr>
          <w:rFonts w:ascii="Arial" w:hAnsi="Arial" w:cs="Arial"/>
        </w:rPr>
        <w:t>The Director of Governance submitted a report informing members of a Council Notice of Motion that had requested changes to the Constitution in respect of Planning Committee procedures.</w:t>
      </w:r>
    </w:p>
    <w:p w14:paraId="60C556C4" w14:textId="77777777" w:rsidR="00496675" w:rsidRPr="00496675" w:rsidRDefault="00496675" w:rsidP="00496675">
      <w:pPr>
        <w:pStyle w:val="ListParagraph"/>
        <w:ind w:left="502"/>
        <w:rPr>
          <w:rFonts w:ascii="Arial" w:eastAsia="Arial" w:hAnsi="Arial" w:cs="Arial"/>
        </w:rPr>
      </w:pPr>
    </w:p>
    <w:p w14:paraId="1DF9808B" w14:textId="51AF792E" w:rsidR="00496675" w:rsidRPr="00F95806" w:rsidRDefault="00496675" w:rsidP="00496675">
      <w:pPr>
        <w:pStyle w:val="ListParagraph"/>
        <w:numPr>
          <w:ilvl w:val="0"/>
          <w:numId w:val="1"/>
        </w:numPr>
        <w:rPr>
          <w:rFonts w:ascii="Arial" w:eastAsia="Arial" w:hAnsi="Arial" w:cs="Arial"/>
        </w:rPr>
      </w:pPr>
      <w:r w:rsidRPr="00F95806">
        <w:rPr>
          <w:rFonts w:ascii="Arial" w:hAnsi="Arial" w:cs="Arial"/>
        </w:rPr>
        <w:t>The changes related to two issues:</w:t>
      </w:r>
    </w:p>
    <w:p w14:paraId="07C51191" w14:textId="77777777" w:rsidR="00496675" w:rsidRPr="00F95806" w:rsidRDefault="00496675" w:rsidP="00496675">
      <w:pPr>
        <w:rPr>
          <w:rFonts w:ascii="Arial" w:eastAsia="Arial" w:hAnsi="Arial" w:cs="Arial"/>
        </w:rPr>
      </w:pPr>
      <w:r w:rsidRPr="00F95806">
        <w:rPr>
          <w:rFonts w:ascii="Arial" w:hAnsi="Arial" w:cs="Arial"/>
        </w:rPr>
        <w:t> </w:t>
      </w:r>
    </w:p>
    <w:p w14:paraId="2E3F9C94" w14:textId="77777777" w:rsidR="00496675" w:rsidRPr="00F95806" w:rsidRDefault="00496675" w:rsidP="00496675">
      <w:pPr>
        <w:pStyle w:val="ListParagraph"/>
        <w:ind w:hanging="360"/>
        <w:rPr>
          <w:rFonts w:ascii="Arial" w:eastAsia="Arial" w:hAnsi="Arial" w:cs="Arial"/>
        </w:rPr>
      </w:pPr>
      <w:r w:rsidRPr="00F95806">
        <w:rPr>
          <w:rFonts w:ascii="Arial" w:hAnsi="Arial" w:cs="Arial"/>
        </w:rPr>
        <w:t>-</w:t>
      </w:r>
      <w:r w:rsidRPr="00F95806">
        <w:rPr>
          <w:rFonts w:ascii="Arial" w:hAnsi="Arial" w:cs="Arial"/>
          <w:sz w:val="14"/>
          <w:szCs w:val="14"/>
        </w:rPr>
        <w:t xml:space="preserve">        </w:t>
      </w:r>
      <w:r w:rsidRPr="00F95806">
        <w:rPr>
          <w:rFonts w:ascii="Arial" w:hAnsi="Arial" w:cs="Arial"/>
        </w:rPr>
        <w:t>One proposal effectively prohibiting members of the Cabinet from sitting on Planning Committee; and</w:t>
      </w:r>
    </w:p>
    <w:p w14:paraId="59669662" w14:textId="77777777" w:rsidR="00496675" w:rsidRPr="00F95806" w:rsidRDefault="00496675" w:rsidP="00496675">
      <w:pPr>
        <w:pStyle w:val="ListParagraph"/>
        <w:ind w:hanging="360"/>
        <w:rPr>
          <w:rFonts w:ascii="Arial" w:eastAsia="Arial" w:hAnsi="Arial" w:cs="Arial"/>
        </w:rPr>
      </w:pPr>
      <w:r w:rsidRPr="00F95806">
        <w:rPr>
          <w:rFonts w:ascii="Arial" w:hAnsi="Arial" w:cs="Arial"/>
        </w:rPr>
        <w:t>-</w:t>
      </w:r>
      <w:r w:rsidRPr="00F95806">
        <w:rPr>
          <w:rFonts w:ascii="Arial" w:hAnsi="Arial" w:cs="Arial"/>
          <w:sz w:val="14"/>
          <w:szCs w:val="14"/>
        </w:rPr>
        <w:t xml:space="preserve">        </w:t>
      </w:r>
      <w:r w:rsidRPr="00F95806">
        <w:rPr>
          <w:rFonts w:ascii="Arial" w:hAnsi="Arial" w:cs="Arial"/>
        </w:rPr>
        <w:t>And two recommending changes to when a member may request that a planning application can be considered by Planning Committee.</w:t>
      </w:r>
    </w:p>
    <w:p w14:paraId="4FA4056B" w14:textId="77777777" w:rsidR="00496675" w:rsidRPr="00F95806" w:rsidRDefault="00496675" w:rsidP="00496675">
      <w:pPr>
        <w:rPr>
          <w:rFonts w:ascii="Arial" w:eastAsia="Arial" w:hAnsi="Arial" w:cs="Arial"/>
        </w:rPr>
      </w:pPr>
      <w:r w:rsidRPr="00F95806">
        <w:rPr>
          <w:rFonts w:ascii="Arial" w:hAnsi="Arial" w:cs="Arial"/>
        </w:rPr>
        <w:t> </w:t>
      </w:r>
    </w:p>
    <w:p w14:paraId="6270AF36" w14:textId="7A008CD8" w:rsidR="00496675" w:rsidRPr="00F95806" w:rsidRDefault="00496675" w:rsidP="00496675">
      <w:pPr>
        <w:pStyle w:val="ListParagraph"/>
        <w:numPr>
          <w:ilvl w:val="0"/>
          <w:numId w:val="1"/>
        </w:numPr>
        <w:rPr>
          <w:rFonts w:ascii="Arial" w:eastAsia="Arial" w:hAnsi="Arial" w:cs="Arial"/>
        </w:rPr>
      </w:pPr>
      <w:r w:rsidRPr="00F95806">
        <w:rPr>
          <w:rFonts w:ascii="Arial" w:hAnsi="Arial" w:cs="Arial"/>
        </w:rPr>
        <w:lastRenderedPageBreak/>
        <w:t>A supplementary report was subsequently issued by the Director of Governance recommending that the Committee establish a Constitution Working Group to consider the proposed Notice of Motion and other proposed constitutional changes.</w:t>
      </w:r>
    </w:p>
    <w:p w14:paraId="17FEA68D" w14:textId="77777777" w:rsidR="00496675" w:rsidRPr="00F95806" w:rsidRDefault="00496675" w:rsidP="00496675">
      <w:pPr>
        <w:rPr>
          <w:rFonts w:ascii="Arial" w:eastAsia="Arial" w:hAnsi="Arial" w:cs="Arial"/>
        </w:rPr>
      </w:pPr>
      <w:r w:rsidRPr="00F95806">
        <w:rPr>
          <w:rFonts w:ascii="Arial" w:hAnsi="Arial" w:cs="Arial"/>
        </w:rPr>
        <w:t> </w:t>
      </w:r>
    </w:p>
    <w:p w14:paraId="1F483356" w14:textId="0550C7F2" w:rsidR="00496675" w:rsidRPr="00F95806" w:rsidRDefault="00496675" w:rsidP="00496675">
      <w:pPr>
        <w:pStyle w:val="ListParagraph"/>
        <w:numPr>
          <w:ilvl w:val="0"/>
          <w:numId w:val="1"/>
        </w:numPr>
        <w:rPr>
          <w:rFonts w:ascii="Arial" w:eastAsia="Arial" w:hAnsi="Arial" w:cs="Arial"/>
        </w:rPr>
      </w:pPr>
      <w:r w:rsidRPr="00F95806">
        <w:rPr>
          <w:rFonts w:ascii="Arial" w:hAnsi="Arial" w:cs="Arial"/>
        </w:rPr>
        <w:t>The Committee was in agreement with the proposal to set up a Constitution Working Group to consider the Notice of Motion. Other members in attendance, Councillors Caleb Tomlinson and Councillor Keith Martin, expressed their views on the Notice of Motion. It was suggested that they and any other members as appropriate be invited to present their views to the Working Group as evidence for this piece of work.</w:t>
      </w:r>
    </w:p>
    <w:p w14:paraId="2FE621FD" w14:textId="77777777" w:rsidR="00496675" w:rsidRPr="00F95806" w:rsidRDefault="00496675" w:rsidP="00496675">
      <w:pPr>
        <w:rPr>
          <w:rFonts w:ascii="Arial" w:eastAsia="Arial" w:hAnsi="Arial" w:cs="Arial"/>
        </w:rPr>
      </w:pPr>
      <w:r w:rsidRPr="00F95806">
        <w:rPr>
          <w:rFonts w:ascii="Arial" w:hAnsi="Arial" w:cs="Arial"/>
        </w:rPr>
        <w:t> </w:t>
      </w:r>
    </w:p>
    <w:p w14:paraId="2AB2C625" w14:textId="49DF8262" w:rsidR="00496675" w:rsidRPr="00F95806" w:rsidRDefault="00496675" w:rsidP="00496675">
      <w:pPr>
        <w:pStyle w:val="ListParagraph"/>
        <w:numPr>
          <w:ilvl w:val="0"/>
          <w:numId w:val="1"/>
        </w:numPr>
        <w:rPr>
          <w:rFonts w:ascii="Arial" w:eastAsia="Arial" w:hAnsi="Arial" w:cs="Arial"/>
        </w:rPr>
      </w:pPr>
      <w:r w:rsidRPr="00F95806">
        <w:rPr>
          <w:rFonts w:ascii="Arial" w:eastAsia="Arial" w:hAnsi="Arial" w:cs="Arial"/>
        </w:rPr>
        <w:t>The Committee resolved that:</w:t>
      </w:r>
    </w:p>
    <w:p w14:paraId="27684E1D" w14:textId="77777777" w:rsidR="00496675" w:rsidRPr="00F95806" w:rsidRDefault="00496675" w:rsidP="00496675">
      <w:pPr>
        <w:rPr>
          <w:rFonts w:ascii="Arial" w:eastAsia="Arial" w:hAnsi="Arial" w:cs="Arial"/>
        </w:rPr>
      </w:pPr>
      <w:r w:rsidRPr="00F95806">
        <w:rPr>
          <w:rFonts w:ascii="Arial" w:hAnsi="Arial" w:cs="Arial"/>
        </w:rPr>
        <w:t> </w:t>
      </w:r>
    </w:p>
    <w:p w14:paraId="67896BC0" w14:textId="77777777" w:rsidR="00496675" w:rsidRPr="00F95806" w:rsidRDefault="00496675" w:rsidP="00496675">
      <w:pPr>
        <w:pStyle w:val="ListParagraph"/>
        <w:ind w:hanging="360"/>
        <w:rPr>
          <w:rFonts w:ascii="Arial" w:eastAsia="Arial" w:hAnsi="Arial" w:cs="Arial"/>
        </w:rPr>
      </w:pPr>
      <w:r w:rsidRPr="00F95806">
        <w:rPr>
          <w:rFonts w:ascii="Arial" w:hAnsi="Arial" w:cs="Arial"/>
        </w:rPr>
        <w:t>1.</w:t>
      </w:r>
      <w:r w:rsidRPr="00F95806">
        <w:rPr>
          <w:rFonts w:ascii="Arial" w:hAnsi="Arial" w:cs="Arial"/>
          <w:sz w:val="14"/>
          <w:szCs w:val="14"/>
        </w:rPr>
        <w:t xml:space="preserve">     </w:t>
      </w:r>
      <w:r w:rsidRPr="00F95806">
        <w:rPr>
          <w:rFonts w:ascii="Arial" w:hAnsi="Arial" w:cs="Arial"/>
        </w:rPr>
        <w:t>That a Constitution Working Group be established to consider the Notice of Motion and other constitutional changes;</w:t>
      </w:r>
    </w:p>
    <w:p w14:paraId="2F4166FA" w14:textId="157E171C" w:rsidR="00AF49F1" w:rsidRPr="00F95806" w:rsidRDefault="00496675" w:rsidP="00496675">
      <w:pPr>
        <w:pStyle w:val="ListParagraph"/>
        <w:numPr>
          <w:ilvl w:val="0"/>
          <w:numId w:val="23"/>
        </w:numPr>
        <w:spacing w:after="0" w:line="240" w:lineRule="auto"/>
        <w:rPr>
          <w:rFonts w:ascii="Arial" w:eastAsia="Times New Roman" w:hAnsi="Arial" w:cs="Arial"/>
          <w:bCs/>
          <w:iCs/>
          <w:sz w:val="24"/>
          <w:szCs w:val="24"/>
          <w:lang w:eastAsia="en-GB"/>
        </w:rPr>
      </w:pPr>
      <w:r w:rsidRPr="00F95806">
        <w:rPr>
          <w:rFonts w:ascii="Arial" w:hAnsi="Arial" w:cs="Arial"/>
        </w:rPr>
        <w:t>That members of the Committee be invited to express interest in sitting on the Working Group before the end of the year with a view to setting up a meeting in the New Year.</w:t>
      </w:r>
    </w:p>
    <w:p w14:paraId="7B184A47" w14:textId="77777777" w:rsidR="00AF49F1" w:rsidRPr="00F95806" w:rsidRDefault="00AF49F1" w:rsidP="00C127E7">
      <w:pPr>
        <w:spacing w:after="0" w:line="240" w:lineRule="auto"/>
        <w:rPr>
          <w:rFonts w:ascii="Arial" w:eastAsia="Times New Roman" w:hAnsi="Arial" w:cs="Arial"/>
          <w:bCs/>
          <w:iCs/>
          <w:sz w:val="24"/>
          <w:szCs w:val="24"/>
          <w:lang w:eastAsia="en-GB"/>
        </w:rPr>
      </w:pPr>
    </w:p>
    <w:p w14:paraId="523B03A0" w14:textId="348675D5" w:rsidR="00AF49F1" w:rsidRDefault="00AF49F1" w:rsidP="00525398">
      <w:pPr>
        <w:spacing w:after="0" w:line="240" w:lineRule="auto"/>
        <w:rPr>
          <w:rFonts w:ascii="Arial" w:eastAsia="Times New Roman" w:hAnsi="Arial" w:cs="Arial"/>
          <w:sz w:val="24"/>
          <w:szCs w:val="24"/>
          <w:lang w:eastAsia="en-GB"/>
        </w:rPr>
      </w:pPr>
    </w:p>
    <w:p w14:paraId="256338CF" w14:textId="556D2E08" w:rsidR="00525398" w:rsidRPr="00525398" w:rsidRDefault="00525398" w:rsidP="00525398">
      <w:pPr>
        <w:spacing w:after="0" w:line="240" w:lineRule="auto"/>
        <w:rPr>
          <w:rFonts w:ascii="Arial" w:eastAsia="Times New Roman" w:hAnsi="Arial" w:cs="Arial"/>
          <w:b/>
          <w:bCs/>
          <w:sz w:val="24"/>
          <w:szCs w:val="24"/>
          <w:lang w:eastAsia="en-GB"/>
        </w:rPr>
      </w:pPr>
      <w:r w:rsidRPr="00525398">
        <w:rPr>
          <w:rFonts w:ascii="Arial" w:eastAsia="Times New Roman" w:hAnsi="Arial" w:cs="Arial"/>
          <w:b/>
          <w:bCs/>
          <w:sz w:val="24"/>
          <w:szCs w:val="24"/>
          <w:lang w:eastAsia="en-GB"/>
        </w:rPr>
        <w:t>Meeting held on 10 January 202</w:t>
      </w:r>
      <w:r w:rsidR="00E5485B">
        <w:rPr>
          <w:rFonts w:ascii="Arial" w:eastAsia="Times New Roman" w:hAnsi="Arial" w:cs="Arial"/>
          <w:b/>
          <w:bCs/>
          <w:sz w:val="24"/>
          <w:szCs w:val="24"/>
          <w:lang w:eastAsia="en-GB"/>
        </w:rPr>
        <w:t>3 to follow.</w:t>
      </w:r>
    </w:p>
    <w:p w14:paraId="211324FD" w14:textId="473EA76B" w:rsidR="008F3D86" w:rsidRPr="008F3D86" w:rsidRDefault="008F3D86" w:rsidP="00C127E7">
      <w:pPr>
        <w:pStyle w:val="ListParagraph"/>
        <w:spacing w:after="0" w:line="252" w:lineRule="auto"/>
        <w:ind w:left="502"/>
        <w:rPr>
          <w:rFonts w:ascii="Arial" w:hAnsi="Arial" w:cs="Arial"/>
          <w:sz w:val="24"/>
          <w:szCs w:val="24"/>
        </w:rPr>
      </w:pPr>
    </w:p>
    <w:p w14:paraId="2C45F445" w14:textId="77777777" w:rsidR="00525398" w:rsidRDefault="00525398" w:rsidP="00525398">
      <w:pPr>
        <w:spacing w:after="0" w:line="252" w:lineRule="auto"/>
        <w:rPr>
          <w:rFonts w:ascii="Arial" w:hAnsi="Arial" w:cs="Arial"/>
          <w:b/>
          <w:bCs/>
          <w:sz w:val="24"/>
          <w:szCs w:val="24"/>
        </w:rPr>
      </w:pPr>
    </w:p>
    <w:p w14:paraId="1C4CDD45" w14:textId="77777777" w:rsidR="00525398" w:rsidRPr="00525398" w:rsidRDefault="00525398" w:rsidP="00525398">
      <w:pPr>
        <w:spacing w:after="0" w:line="252" w:lineRule="auto"/>
        <w:rPr>
          <w:rFonts w:ascii="Arial" w:hAnsi="Arial" w:cs="Arial"/>
          <w:b/>
          <w:bCs/>
          <w:sz w:val="24"/>
          <w:szCs w:val="24"/>
        </w:rPr>
      </w:pPr>
    </w:p>
    <w:p w14:paraId="137C1D54" w14:textId="34CA5242" w:rsidR="0088186E" w:rsidRDefault="0088186E" w:rsidP="00C127E7">
      <w:pPr>
        <w:spacing w:after="0" w:line="252" w:lineRule="auto"/>
        <w:rPr>
          <w:rFonts w:ascii="Arial" w:hAnsi="Arial" w:cs="Arial"/>
          <w:sz w:val="24"/>
          <w:szCs w:val="24"/>
        </w:rPr>
      </w:pPr>
    </w:p>
    <w:p w14:paraId="50C28D49" w14:textId="52B30528" w:rsidR="00AF1A05" w:rsidRDefault="00AF1A05" w:rsidP="00C127E7">
      <w:pPr>
        <w:spacing w:after="0" w:line="252" w:lineRule="auto"/>
        <w:rPr>
          <w:rFonts w:ascii="Arial" w:hAnsi="Arial" w:cs="Arial"/>
          <w:sz w:val="24"/>
          <w:szCs w:val="24"/>
        </w:rPr>
      </w:pPr>
    </w:p>
    <w:p w14:paraId="38D9AEFE" w14:textId="121B097D" w:rsidR="00AF1A05" w:rsidRDefault="00AF1A05" w:rsidP="00C127E7">
      <w:pPr>
        <w:spacing w:after="0" w:line="252" w:lineRule="auto"/>
        <w:rPr>
          <w:rFonts w:ascii="Arial" w:hAnsi="Arial" w:cs="Arial"/>
          <w:sz w:val="24"/>
          <w:szCs w:val="24"/>
        </w:rPr>
      </w:pPr>
    </w:p>
    <w:p w14:paraId="3247B144" w14:textId="036841AB" w:rsidR="00AF1A05" w:rsidRDefault="00AF1A05" w:rsidP="00C127E7">
      <w:pPr>
        <w:spacing w:after="0" w:line="252" w:lineRule="auto"/>
        <w:rPr>
          <w:rFonts w:ascii="Arial" w:hAnsi="Arial" w:cs="Arial"/>
          <w:sz w:val="24"/>
          <w:szCs w:val="24"/>
        </w:rPr>
      </w:pPr>
    </w:p>
    <w:p w14:paraId="51ABE6EE" w14:textId="77777777" w:rsidR="00AF1A05" w:rsidRDefault="00AF1A05" w:rsidP="00C127E7">
      <w:pPr>
        <w:spacing w:after="0" w:line="252" w:lineRule="auto"/>
        <w:rPr>
          <w:rFonts w:ascii="Arial" w:hAnsi="Arial" w:cs="Arial"/>
          <w:sz w:val="24"/>
          <w:szCs w:val="24"/>
        </w:rPr>
      </w:pPr>
    </w:p>
    <w:p w14:paraId="4C003502" w14:textId="7E156B89" w:rsidR="00E5485B" w:rsidRDefault="009A5B08" w:rsidP="00C127E7">
      <w:pPr>
        <w:spacing w:after="0" w:line="252" w:lineRule="auto"/>
        <w:rPr>
          <w:rFonts w:ascii="Arial" w:hAnsi="Arial" w:cs="Arial"/>
          <w:sz w:val="24"/>
          <w:szCs w:val="24"/>
        </w:rPr>
      </w:pPr>
      <w:r>
        <w:rPr>
          <w:rFonts w:ascii="Arial" w:hAnsi="Arial" w:cs="Arial"/>
          <w:sz w:val="24"/>
          <w:szCs w:val="24"/>
        </w:rPr>
        <w:t>C</w:t>
      </w:r>
      <w:r w:rsidR="00AF1A05">
        <w:rPr>
          <w:rFonts w:ascii="Arial" w:hAnsi="Arial" w:cs="Arial"/>
          <w:sz w:val="24"/>
          <w:szCs w:val="24"/>
        </w:rPr>
        <w:t>ouncillor Ian Watkinson</w:t>
      </w:r>
    </w:p>
    <w:p w14:paraId="0387A3B0" w14:textId="4758DCF9" w:rsidR="00B05406" w:rsidRPr="00B05406" w:rsidRDefault="00E5485B" w:rsidP="00C127E7">
      <w:pPr>
        <w:spacing w:after="0" w:line="252" w:lineRule="auto"/>
        <w:rPr>
          <w:rFonts w:ascii="Arial" w:hAnsi="Arial" w:cs="Arial"/>
          <w:sz w:val="24"/>
          <w:szCs w:val="24"/>
        </w:rPr>
      </w:pPr>
      <w:r>
        <w:rPr>
          <w:rFonts w:ascii="Arial" w:hAnsi="Arial" w:cs="Arial"/>
          <w:sz w:val="24"/>
          <w:szCs w:val="24"/>
        </w:rPr>
        <w:t>C</w:t>
      </w:r>
      <w:r w:rsidR="00AF1A05">
        <w:rPr>
          <w:rFonts w:ascii="Arial" w:hAnsi="Arial" w:cs="Arial"/>
          <w:sz w:val="24"/>
          <w:szCs w:val="24"/>
        </w:rPr>
        <w:t>hair of the Governance Committee</w:t>
      </w:r>
      <w:bookmarkStart w:id="1" w:name="_GoBack"/>
      <w:bookmarkEnd w:id="1"/>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2" w15:restartNumberingAfterBreak="0">
    <w:nsid w:val="135F592A"/>
    <w:multiLevelType w:val="hybridMultilevel"/>
    <w:tmpl w:val="E4B232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912BA"/>
    <w:multiLevelType w:val="hybridMultilevel"/>
    <w:tmpl w:val="F376B00C"/>
    <w:lvl w:ilvl="0" w:tplc="3F9A4FA4">
      <w:start w:val="2"/>
      <w:numFmt w:val="decimal"/>
      <w:lvlText w:val="%1."/>
      <w:lvlJc w:val="left"/>
      <w:pPr>
        <w:ind w:left="720" w:hanging="360"/>
      </w:pPr>
      <w:rPr>
        <w:rFonts w:ascii="Arial" w:eastAsiaTheme="minorHAnsi"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12"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15"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0B61AD"/>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0"/>
  </w:num>
  <w:num w:numId="10">
    <w:abstractNumId w:val="5"/>
  </w:num>
  <w:num w:numId="11">
    <w:abstractNumId w:val="19"/>
  </w:num>
  <w:num w:numId="12">
    <w:abstractNumId w:val="15"/>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3"/>
  </w:num>
  <w:num w:numId="22">
    <w:abstractNumId w:val="2"/>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231C"/>
    <w:rsid w:val="000873EA"/>
    <w:rsid w:val="00090940"/>
    <w:rsid w:val="000A1773"/>
    <w:rsid w:val="000A1B09"/>
    <w:rsid w:val="000A1E31"/>
    <w:rsid w:val="000A49FE"/>
    <w:rsid w:val="000B554C"/>
    <w:rsid w:val="000B77EE"/>
    <w:rsid w:val="000D2E0A"/>
    <w:rsid w:val="000D77CC"/>
    <w:rsid w:val="000E13D5"/>
    <w:rsid w:val="000E6B65"/>
    <w:rsid w:val="000E74BB"/>
    <w:rsid w:val="000F00C3"/>
    <w:rsid w:val="00100090"/>
    <w:rsid w:val="00110C05"/>
    <w:rsid w:val="00115EA4"/>
    <w:rsid w:val="00116711"/>
    <w:rsid w:val="00121FB5"/>
    <w:rsid w:val="00124C30"/>
    <w:rsid w:val="00133FBB"/>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C73D0"/>
    <w:rsid w:val="001D2616"/>
    <w:rsid w:val="001E7E00"/>
    <w:rsid w:val="001F104C"/>
    <w:rsid w:val="001F229A"/>
    <w:rsid w:val="001F314A"/>
    <w:rsid w:val="001F4E7B"/>
    <w:rsid w:val="00202447"/>
    <w:rsid w:val="00203DBD"/>
    <w:rsid w:val="0021168C"/>
    <w:rsid w:val="00211889"/>
    <w:rsid w:val="00221D32"/>
    <w:rsid w:val="00222653"/>
    <w:rsid w:val="0022321C"/>
    <w:rsid w:val="00224AAA"/>
    <w:rsid w:val="002267A0"/>
    <w:rsid w:val="002312F9"/>
    <w:rsid w:val="00231804"/>
    <w:rsid w:val="0024149D"/>
    <w:rsid w:val="00244AEB"/>
    <w:rsid w:val="002558E0"/>
    <w:rsid w:val="0026050B"/>
    <w:rsid w:val="002624C3"/>
    <w:rsid w:val="002707D9"/>
    <w:rsid w:val="00272C09"/>
    <w:rsid w:val="0028788C"/>
    <w:rsid w:val="002953D6"/>
    <w:rsid w:val="002A0192"/>
    <w:rsid w:val="002B07DA"/>
    <w:rsid w:val="002B0DC3"/>
    <w:rsid w:val="002B3E08"/>
    <w:rsid w:val="002B6AA4"/>
    <w:rsid w:val="002C068C"/>
    <w:rsid w:val="002C2CA6"/>
    <w:rsid w:val="002E28C6"/>
    <w:rsid w:val="002E4377"/>
    <w:rsid w:val="002E6E51"/>
    <w:rsid w:val="003062D9"/>
    <w:rsid w:val="003161FA"/>
    <w:rsid w:val="00325A9C"/>
    <w:rsid w:val="003332EA"/>
    <w:rsid w:val="003412B5"/>
    <w:rsid w:val="00344E8E"/>
    <w:rsid w:val="00350552"/>
    <w:rsid w:val="00351663"/>
    <w:rsid w:val="0035380D"/>
    <w:rsid w:val="00354B10"/>
    <w:rsid w:val="00357B6A"/>
    <w:rsid w:val="00364773"/>
    <w:rsid w:val="00365370"/>
    <w:rsid w:val="00366069"/>
    <w:rsid w:val="0036760F"/>
    <w:rsid w:val="00370EEB"/>
    <w:rsid w:val="00372378"/>
    <w:rsid w:val="0037581E"/>
    <w:rsid w:val="00383D56"/>
    <w:rsid w:val="00385934"/>
    <w:rsid w:val="0038761D"/>
    <w:rsid w:val="00397ADD"/>
    <w:rsid w:val="003A1FF8"/>
    <w:rsid w:val="003A34EC"/>
    <w:rsid w:val="003B0469"/>
    <w:rsid w:val="003B7D27"/>
    <w:rsid w:val="003C3353"/>
    <w:rsid w:val="003C3540"/>
    <w:rsid w:val="003E0D2A"/>
    <w:rsid w:val="003F03D5"/>
    <w:rsid w:val="003F0669"/>
    <w:rsid w:val="003F4AF9"/>
    <w:rsid w:val="004075C3"/>
    <w:rsid w:val="004109E5"/>
    <w:rsid w:val="004110C1"/>
    <w:rsid w:val="0042449F"/>
    <w:rsid w:val="004358DB"/>
    <w:rsid w:val="00436D23"/>
    <w:rsid w:val="0043775C"/>
    <w:rsid w:val="00440637"/>
    <w:rsid w:val="00440AC5"/>
    <w:rsid w:val="004473E2"/>
    <w:rsid w:val="0045085E"/>
    <w:rsid w:val="004537E4"/>
    <w:rsid w:val="00460FB1"/>
    <w:rsid w:val="00467C55"/>
    <w:rsid w:val="004719E7"/>
    <w:rsid w:val="00484417"/>
    <w:rsid w:val="004860B9"/>
    <w:rsid w:val="00486ECB"/>
    <w:rsid w:val="004875AA"/>
    <w:rsid w:val="00487FFC"/>
    <w:rsid w:val="004919DC"/>
    <w:rsid w:val="00493110"/>
    <w:rsid w:val="00495D7E"/>
    <w:rsid w:val="00496675"/>
    <w:rsid w:val="00496835"/>
    <w:rsid w:val="004972D5"/>
    <w:rsid w:val="004B6FF8"/>
    <w:rsid w:val="004C435C"/>
    <w:rsid w:val="004C5D10"/>
    <w:rsid w:val="004C6A90"/>
    <w:rsid w:val="004D5C05"/>
    <w:rsid w:val="004E1360"/>
    <w:rsid w:val="004E1CA1"/>
    <w:rsid w:val="004E2A53"/>
    <w:rsid w:val="004E3154"/>
    <w:rsid w:val="004F55DE"/>
    <w:rsid w:val="00505145"/>
    <w:rsid w:val="0051287C"/>
    <w:rsid w:val="005132E6"/>
    <w:rsid w:val="00514DED"/>
    <w:rsid w:val="0051502E"/>
    <w:rsid w:val="00525398"/>
    <w:rsid w:val="00525B9F"/>
    <w:rsid w:val="00525F88"/>
    <w:rsid w:val="0053206E"/>
    <w:rsid w:val="00533598"/>
    <w:rsid w:val="00533A25"/>
    <w:rsid w:val="00545626"/>
    <w:rsid w:val="00546A87"/>
    <w:rsid w:val="00547D1A"/>
    <w:rsid w:val="00553A63"/>
    <w:rsid w:val="00564486"/>
    <w:rsid w:val="00565DD6"/>
    <w:rsid w:val="00575B00"/>
    <w:rsid w:val="0057618D"/>
    <w:rsid w:val="00580D38"/>
    <w:rsid w:val="00581C1C"/>
    <w:rsid w:val="005837CD"/>
    <w:rsid w:val="00590FFC"/>
    <w:rsid w:val="005A63FE"/>
    <w:rsid w:val="005A6F91"/>
    <w:rsid w:val="005B5082"/>
    <w:rsid w:val="005C223C"/>
    <w:rsid w:val="005C287C"/>
    <w:rsid w:val="005C4299"/>
    <w:rsid w:val="005C7491"/>
    <w:rsid w:val="005D1256"/>
    <w:rsid w:val="005E0A78"/>
    <w:rsid w:val="005E0C47"/>
    <w:rsid w:val="005F5B81"/>
    <w:rsid w:val="00603DD4"/>
    <w:rsid w:val="006258DD"/>
    <w:rsid w:val="00644C50"/>
    <w:rsid w:val="00650A47"/>
    <w:rsid w:val="00655088"/>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704E3F"/>
    <w:rsid w:val="007068A5"/>
    <w:rsid w:val="0072061A"/>
    <w:rsid w:val="00723559"/>
    <w:rsid w:val="00731372"/>
    <w:rsid w:val="00731C12"/>
    <w:rsid w:val="0073309C"/>
    <w:rsid w:val="00736D83"/>
    <w:rsid w:val="00737866"/>
    <w:rsid w:val="0076034B"/>
    <w:rsid w:val="007663AC"/>
    <w:rsid w:val="00770C81"/>
    <w:rsid w:val="00790B4F"/>
    <w:rsid w:val="007B2356"/>
    <w:rsid w:val="007B558E"/>
    <w:rsid w:val="007B6A76"/>
    <w:rsid w:val="007C3550"/>
    <w:rsid w:val="007D4DFB"/>
    <w:rsid w:val="007D59C8"/>
    <w:rsid w:val="007E00B2"/>
    <w:rsid w:val="007E56CA"/>
    <w:rsid w:val="007F5AB1"/>
    <w:rsid w:val="00803472"/>
    <w:rsid w:val="00804455"/>
    <w:rsid w:val="00820A07"/>
    <w:rsid w:val="00821256"/>
    <w:rsid w:val="00832717"/>
    <w:rsid w:val="00851535"/>
    <w:rsid w:val="00860DD8"/>
    <w:rsid w:val="00862FFC"/>
    <w:rsid w:val="008769DE"/>
    <w:rsid w:val="008776A0"/>
    <w:rsid w:val="0088186E"/>
    <w:rsid w:val="00890B4E"/>
    <w:rsid w:val="0089174E"/>
    <w:rsid w:val="00896B69"/>
    <w:rsid w:val="008B5A7E"/>
    <w:rsid w:val="008D473B"/>
    <w:rsid w:val="008E6407"/>
    <w:rsid w:val="008F3D86"/>
    <w:rsid w:val="008F5050"/>
    <w:rsid w:val="008F5BC2"/>
    <w:rsid w:val="00907954"/>
    <w:rsid w:val="009108A7"/>
    <w:rsid w:val="00911F80"/>
    <w:rsid w:val="00920304"/>
    <w:rsid w:val="00921617"/>
    <w:rsid w:val="0093791A"/>
    <w:rsid w:val="00944093"/>
    <w:rsid w:val="0094530B"/>
    <w:rsid w:val="00953B0A"/>
    <w:rsid w:val="00962A7A"/>
    <w:rsid w:val="009847FF"/>
    <w:rsid w:val="00992BC3"/>
    <w:rsid w:val="00995017"/>
    <w:rsid w:val="009A0903"/>
    <w:rsid w:val="009A5B08"/>
    <w:rsid w:val="009A5D9A"/>
    <w:rsid w:val="009B0274"/>
    <w:rsid w:val="009C0978"/>
    <w:rsid w:val="009C2C3A"/>
    <w:rsid w:val="009D2DA3"/>
    <w:rsid w:val="009E3735"/>
    <w:rsid w:val="009E6254"/>
    <w:rsid w:val="009F0ED0"/>
    <w:rsid w:val="00A015A2"/>
    <w:rsid w:val="00A066E9"/>
    <w:rsid w:val="00A114DB"/>
    <w:rsid w:val="00A12E65"/>
    <w:rsid w:val="00A160B3"/>
    <w:rsid w:val="00A17815"/>
    <w:rsid w:val="00A27337"/>
    <w:rsid w:val="00A34F3F"/>
    <w:rsid w:val="00A35FF7"/>
    <w:rsid w:val="00A45C7E"/>
    <w:rsid w:val="00A524AD"/>
    <w:rsid w:val="00A54E2A"/>
    <w:rsid w:val="00A64278"/>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AF1A05"/>
    <w:rsid w:val="00AF49F1"/>
    <w:rsid w:val="00B008BC"/>
    <w:rsid w:val="00B01508"/>
    <w:rsid w:val="00B05406"/>
    <w:rsid w:val="00B12190"/>
    <w:rsid w:val="00B178E0"/>
    <w:rsid w:val="00B2705F"/>
    <w:rsid w:val="00B2789E"/>
    <w:rsid w:val="00B3192C"/>
    <w:rsid w:val="00B40D8D"/>
    <w:rsid w:val="00B4395A"/>
    <w:rsid w:val="00B46B90"/>
    <w:rsid w:val="00B562DD"/>
    <w:rsid w:val="00B57D11"/>
    <w:rsid w:val="00B61C4F"/>
    <w:rsid w:val="00B62E48"/>
    <w:rsid w:val="00B76FBB"/>
    <w:rsid w:val="00B813EE"/>
    <w:rsid w:val="00B869F7"/>
    <w:rsid w:val="00B86C06"/>
    <w:rsid w:val="00BA1209"/>
    <w:rsid w:val="00BC12E7"/>
    <w:rsid w:val="00BC7F7F"/>
    <w:rsid w:val="00BD2E99"/>
    <w:rsid w:val="00BE02CE"/>
    <w:rsid w:val="00BE2749"/>
    <w:rsid w:val="00BE468E"/>
    <w:rsid w:val="00BE4C2A"/>
    <w:rsid w:val="00BF009C"/>
    <w:rsid w:val="00C029FE"/>
    <w:rsid w:val="00C11109"/>
    <w:rsid w:val="00C127E7"/>
    <w:rsid w:val="00C14C34"/>
    <w:rsid w:val="00C439B6"/>
    <w:rsid w:val="00C541D7"/>
    <w:rsid w:val="00C54758"/>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2FB3"/>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184"/>
    <w:rsid w:val="00DD4E06"/>
    <w:rsid w:val="00DE08EA"/>
    <w:rsid w:val="00DE7562"/>
    <w:rsid w:val="00E0313D"/>
    <w:rsid w:val="00E06825"/>
    <w:rsid w:val="00E25A12"/>
    <w:rsid w:val="00E33C5B"/>
    <w:rsid w:val="00E340E9"/>
    <w:rsid w:val="00E46DEE"/>
    <w:rsid w:val="00E47F21"/>
    <w:rsid w:val="00E5332F"/>
    <w:rsid w:val="00E54138"/>
    <w:rsid w:val="00E5485B"/>
    <w:rsid w:val="00E61BA5"/>
    <w:rsid w:val="00E621B9"/>
    <w:rsid w:val="00E622B0"/>
    <w:rsid w:val="00E728C9"/>
    <w:rsid w:val="00E804C5"/>
    <w:rsid w:val="00E87333"/>
    <w:rsid w:val="00E91160"/>
    <w:rsid w:val="00E94467"/>
    <w:rsid w:val="00E94C86"/>
    <w:rsid w:val="00E95B95"/>
    <w:rsid w:val="00E9647B"/>
    <w:rsid w:val="00EA1E62"/>
    <w:rsid w:val="00EA2886"/>
    <w:rsid w:val="00EA322A"/>
    <w:rsid w:val="00EA7EA0"/>
    <w:rsid w:val="00EC216C"/>
    <w:rsid w:val="00EC3057"/>
    <w:rsid w:val="00EC5825"/>
    <w:rsid w:val="00ED3317"/>
    <w:rsid w:val="00ED6657"/>
    <w:rsid w:val="00EE72BC"/>
    <w:rsid w:val="00EF09C7"/>
    <w:rsid w:val="00EF3A9A"/>
    <w:rsid w:val="00F00AD8"/>
    <w:rsid w:val="00F14E26"/>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28EA"/>
    <w:rsid w:val="00F95806"/>
    <w:rsid w:val="00FA4AA9"/>
    <w:rsid w:val="00FB21B1"/>
    <w:rsid w:val="00FC4A74"/>
    <w:rsid w:val="00FD2B68"/>
    <w:rsid w:val="00FD2CBF"/>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semiHidden/>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B09"/>
  </w:style>
  <w:style w:type="paragraph" w:customStyle="1" w:styleId="pMsoNormal">
    <w:name w:val="p_MsoNormal"/>
    <w:basedOn w:val="Normal"/>
    <w:rsid w:val="00581C1C"/>
    <w:pPr>
      <w:spacing w:after="0" w:line="240" w:lineRule="auto"/>
    </w:pPr>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1837059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58439876">
      <w:bodyDiv w:val="1"/>
      <w:marLeft w:val="0"/>
      <w:marRight w:val="0"/>
      <w:marTop w:val="0"/>
      <w:marBottom w:val="0"/>
      <w:divBdr>
        <w:top w:val="none" w:sz="0" w:space="0" w:color="auto"/>
        <w:left w:val="none" w:sz="0" w:space="0" w:color="auto"/>
        <w:bottom w:val="none" w:sz="0" w:space="0" w:color="auto"/>
        <w:right w:val="none" w:sz="0" w:space="0" w:color="auto"/>
      </w:divBdr>
    </w:div>
    <w:div w:id="1260796726">
      <w:bodyDiv w:val="1"/>
      <w:marLeft w:val="0"/>
      <w:marRight w:val="0"/>
      <w:marTop w:val="0"/>
      <w:marBottom w:val="0"/>
      <w:divBdr>
        <w:top w:val="none" w:sz="0" w:space="0" w:color="auto"/>
        <w:left w:val="none" w:sz="0" w:space="0" w:color="auto"/>
        <w:bottom w:val="none" w:sz="0" w:space="0" w:color="auto"/>
        <w:right w:val="none" w:sz="0" w:space="0" w:color="auto"/>
      </w:divBdr>
    </w:div>
    <w:div w:id="1273124280">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21</cp:revision>
  <dcterms:created xsi:type="dcterms:W3CDTF">2023-01-10T15:54:00Z</dcterms:created>
  <dcterms:modified xsi:type="dcterms:W3CDTF">2023-01-16T17:06:00Z</dcterms:modified>
</cp:coreProperties>
</file>