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63B67CC9" w:rsidR="0037581E" w:rsidRDefault="0037581E" w:rsidP="00467C55">
      <w:pPr>
        <w:pStyle w:val="ListParagraph"/>
        <w:numPr>
          <w:ilvl w:val="0"/>
          <w:numId w:val="1"/>
        </w:numPr>
        <w:ind w:left="567" w:hanging="567"/>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6ADE1E8F" w14:textId="77777777" w:rsidR="00AF49F1" w:rsidRDefault="00AF49F1" w:rsidP="00AF49F1">
      <w:pPr>
        <w:pStyle w:val="ListParagraph"/>
        <w:ind w:left="567"/>
        <w:rPr>
          <w:rFonts w:ascii="Arial" w:hAnsi="Arial" w:cs="Arial"/>
          <w:sz w:val="24"/>
          <w:szCs w:val="24"/>
        </w:rPr>
      </w:pPr>
    </w:p>
    <w:p w14:paraId="5F831691" w14:textId="468634F7" w:rsidR="00C87C87" w:rsidRDefault="00351663" w:rsidP="00FD3C79">
      <w:pPr>
        <w:rPr>
          <w:rFonts w:ascii="Arial" w:hAnsi="Arial" w:cs="Arial"/>
          <w:b/>
          <w:sz w:val="24"/>
          <w:szCs w:val="24"/>
        </w:rPr>
      </w:pPr>
      <w:bookmarkStart w:id="0" w:name="_Hlk56155553"/>
      <w:r>
        <w:rPr>
          <w:rFonts w:ascii="Arial" w:hAnsi="Arial" w:cs="Arial"/>
          <w:b/>
          <w:sz w:val="24"/>
          <w:szCs w:val="24"/>
        </w:rPr>
        <w:t>Meeting</w:t>
      </w:r>
      <w:r w:rsidR="009E6254">
        <w:rPr>
          <w:rFonts w:ascii="Arial" w:hAnsi="Arial" w:cs="Arial"/>
          <w:b/>
          <w:sz w:val="24"/>
          <w:szCs w:val="24"/>
        </w:rPr>
        <w:t xml:space="preserve"> held on 1</w:t>
      </w:r>
      <w:r w:rsidR="00203DBD">
        <w:rPr>
          <w:rFonts w:ascii="Arial" w:hAnsi="Arial" w:cs="Arial"/>
          <w:b/>
          <w:sz w:val="24"/>
          <w:szCs w:val="24"/>
        </w:rPr>
        <w:t>4 September</w:t>
      </w:r>
      <w:r w:rsidR="009E6254">
        <w:rPr>
          <w:rFonts w:ascii="Arial" w:hAnsi="Arial" w:cs="Arial"/>
          <w:b/>
          <w:sz w:val="24"/>
          <w:szCs w:val="24"/>
        </w:rPr>
        <w:t xml:space="preserve"> 2022</w:t>
      </w:r>
    </w:p>
    <w:tbl>
      <w:tblPr>
        <w:tblW w:w="9345" w:type="dxa"/>
        <w:tblInd w:w="-601" w:type="dxa"/>
        <w:tblLayout w:type="fixed"/>
        <w:tblLook w:val="04A0" w:firstRow="1" w:lastRow="0" w:firstColumn="1" w:lastColumn="0" w:noHBand="0" w:noVBand="1"/>
      </w:tblPr>
      <w:tblGrid>
        <w:gridCol w:w="619"/>
        <w:gridCol w:w="8726"/>
      </w:tblGrid>
      <w:tr w:rsidR="00B12190" w14:paraId="4B77CC8E" w14:textId="77777777" w:rsidTr="00687897">
        <w:tc>
          <w:tcPr>
            <w:tcW w:w="619" w:type="dxa"/>
            <w:hideMark/>
          </w:tcPr>
          <w:p w14:paraId="57435992" w14:textId="042DDF0B" w:rsidR="00B12190" w:rsidRDefault="00B12190">
            <w:pPr>
              <w:jc w:val="both"/>
              <w:rPr>
                <w:rFonts w:cs="Arial"/>
                <w:b/>
                <w:szCs w:val="24"/>
              </w:rPr>
            </w:pPr>
          </w:p>
        </w:tc>
        <w:tc>
          <w:tcPr>
            <w:tcW w:w="8726" w:type="dxa"/>
          </w:tcPr>
          <w:p w14:paraId="4387CAB1" w14:textId="28765EE5" w:rsidR="00B12190" w:rsidRPr="004875AA" w:rsidRDefault="00B12190" w:rsidP="009E6254">
            <w:pPr>
              <w:jc w:val="both"/>
              <w:rPr>
                <w:rFonts w:ascii="Arial Bold" w:hAnsi="Arial Bold"/>
                <w:b/>
                <w:sz w:val="24"/>
                <w:szCs w:val="24"/>
              </w:rPr>
            </w:pPr>
          </w:p>
        </w:tc>
      </w:tr>
    </w:tbl>
    <w:p w14:paraId="3A902ACA" w14:textId="7ABA2B6F" w:rsidR="00DA6645" w:rsidRPr="00DB36C4" w:rsidRDefault="00B12190" w:rsidP="004875AA">
      <w:pPr>
        <w:rPr>
          <w:rFonts w:ascii="Arial" w:eastAsia="Times New Roman" w:hAnsi="Arial" w:cs="Arial"/>
          <w:b/>
          <w:bCs/>
          <w:sz w:val="24"/>
          <w:szCs w:val="24"/>
          <w:lang w:eastAsia="en-GB"/>
        </w:rPr>
      </w:pPr>
      <w:r>
        <w:t> </w:t>
      </w:r>
      <w:r w:rsidR="00DB36C4" w:rsidRPr="00DB36C4">
        <w:rPr>
          <w:rFonts w:ascii="Arial" w:hAnsi="Arial" w:cs="Arial"/>
          <w:b/>
          <w:bCs/>
          <w:sz w:val="24"/>
          <w:szCs w:val="24"/>
        </w:rPr>
        <w:t>Quarter One Performance Monitoring Report 2022-2023</w:t>
      </w:r>
    </w:p>
    <w:p w14:paraId="44B6A6C6" w14:textId="1B5E726C" w:rsidR="00DB36C4" w:rsidRDefault="00DB36C4" w:rsidP="00DB36C4">
      <w:pPr>
        <w:pStyle w:val="ListParagraph"/>
        <w:numPr>
          <w:ilvl w:val="0"/>
          <w:numId w:val="1"/>
        </w:numPr>
        <w:spacing w:after="0" w:line="240" w:lineRule="auto"/>
        <w:jc w:val="both"/>
        <w:rPr>
          <w:rFonts w:ascii="Arial" w:eastAsia="Times New Roman" w:hAnsi="Arial" w:cs="Calibri"/>
          <w:bCs/>
          <w:iCs/>
          <w:sz w:val="24"/>
          <w:szCs w:val="24"/>
          <w:lang w:eastAsia="en-GB"/>
        </w:rPr>
      </w:pPr>
      <w:bookmarkStart w:id="1" w:name="_Hlk93398402"/>
      <w:r w:rsidRPr="00DB36C4">
        <w:rPr>
          <w:rFonts w:ascii="Arial" w:eastAsia="Times New Roman" w:hAnsi="Arial" w:cs="Times New Roman"/>
          <w:sz w:val="24"/>
          <w:szCs w:val="24"/>
          <w:lang w:eastAsia="en-GB"/>
        </w:rPr>
        <w:t xml:space="preserve">The Leader of the Council and Cabinet Member (Strategy and Reform) presented a report of the Deputy Chief Executive </w:t>
      </w:r>
      <w:r w:rsidRPr="00DB36C4">
        <w:rPr>
          <w:rFonts w:ascii="Arial" w:eastAsia="Times New Roman" w:hAnsi="Arial" w:cs="Calibri"/>
          <w:bCs/>
          <w:iCs/>
          <w:sz w:val="24"/>
          <w:szCs w:val="24"/>
          <w:lang w:eastAsia="en-GB"/>
        </w:rPr>
        <w:t>providing Cabinet with a position statement for the Corporate Strategy for quarter one (April – June) 2022/23.</w:t>
      </w:r>
    </w:p>
    <w:p w14:paraId="08E4C0E8" w14:textId="77777777" w:rsidR="00DB36C4" w:rsidRPr="00DB36C4" w:rsidRDefault="00DB36C4" w:rsidP="00DB36C4">
      <w:pPr>
        <w:spacing w:after="0" w:line="240" w:lineRule="auto"/>
        <w:jc w:val="both"/>
        <w:rPr>
          <w:rFonts w:ascii="Arial" w:eastAsia="Times New Roman" w:hAnsi="Arial" w:cs="Calibri"/>
          <w:b/>
          <w:iCs/>
          <w:sz w:val="24"/>
          <w:szCs w:val="24"/>
          <w:lang w:eastAsia="en-GB"/>
        </w:rPr>
      </w:pPr>
    </w:p>
    <w:p w14:paraId="4AC930DD" w14:textId="6F44FBE3" w:rsidR="00DB36C4" w:rsidRPr="00DB36C4" w:rsidRDefault="00DB36C4" w:rsidP="00DB36C4">
      <w:pPr>
        <w:pStyle w:val="ListParagraph"/>
        <w:numPr>
          <w:ilvl w:val="0"/>
          <w:numId w:val="1"/>
        </w:numPr>
        <w:spacing w:after="0" w:line="254" w:lineRule="auto"/>
        <w:rPr>
          <w:rFonts w:ascii="Calibri" w:eastAsia="Times New Roman" w:hAnsi="Calibri" w:cs="Calibri"/>
          <w:bCs/>
          <w:iCs/>
          <w:lang w:eastAsia="en-GB"/>
        </w:rPr>
      </w:pPr>
      <w:r w:rsidRPr="00DB36C4">
        <w:rPr>
          <w:rFonts w:ascii="Arial" w:eastAsia="Times New Roman" w:hAnsi="Arial" w:cs="Calibri"/>
          <w:bCs/>
          <w:iCs/>
          <w:sz w:val="24"/>
          <w:szCs w:val="24"/>
          <w:lang w:eastAsia="en-GB"/>
        </w:rPr>
        <w:t>The Council’s performance framework set</w:t>
      </w:r>
      <w:r>
        <w:rPr>
          <w:rFonts w:ascii="Arial" w:eastAsia="Times New Roman" w:hAnsi="Arial" w:cs="Calibri"/>
          <w:bCs/>
          <w:iCs/>
          <w:sz w:val="24"/>
          <w:szCs w:val="24"/>
          <w:lang w:eastAsia="en-GB"/>
        </w:rPr>
        <w:t xml:space="preserve"> </w:t>
      </w:r>
      <w:r w:rsidRPr="00DB36C4">
        <w:rPr>
          <w:rFonts w:ascii="Arial" w:eastAsia="Times New Roman" w:hAnsi="Arial" w:cs="Calibri"/>
          <w:bCs/>
          <w:iCs/>
          <w:sz w:val="24"/>
          <w:szCs w:val="24"/>
          <w:lang w:eastAsia="en-GB"/>
        </w:rPr>
        <w:t>out the process for reporting progress against the objectives of the Corporate Strategy. Robust monitoring ensures that the council continues to deliver its priorities and achieves the best outcomes for residents.</w:t>
      </w:r>
    </w:p>
    <w:p w14:paraId="4480359E" w14:textId="77777777" w:rsidR="00DB36C4" w:rsidRPr="00DB36C4" w:rsidRDefault="00DB36C4" w:rsidP="00DB36C4">
      <w:pPr>
        <w:pStyle w:val="ListParagraph"/>
        <w:spacing w:after="0" w:line="254" w:lineRule="auto"/>
        <w:ind w:left="502"/>
        <w:rPr>
          <w:rFonts w:ascii="Calibri" w:eastAsia="Times New Roman" w:hAnsi="Calibri" w:cs="Calibri"/>
          <w:bCs/>
          <w:iCs/>
          <w:lang w:eastAsia="en-GB"/>
        </w:rPr>
      </w:pPr>
    </w:p>
    <w:p w14:paraId="23646B0C" w14:textId="3EA8DD77" w:rsidR="00DB36C4" w:rsidRPr="00DB36C4" w:rsidRDefault="00DB36C4" w:rsidP="00DB36C4">
      <w:pPr>
        <w:pStyle w:val="ListParagraph"/>
        <w:numPr>
          <w:ilvl w:val="0"/>
          <w:numId w:val="1"/>
        </w:numPr>
        <w:spacing w:after="0" w:line="240" w:lineRule="auto"/>
        <w:jc w:val="both"/>
        <w:rPr>
          <w:rFonts w:ascii="Arial" w:eastAsia="Times New Roman" w:hAnsi="Arial" w:cs="Calibri"/>
          <w:bCs/>
          <w:iCs/>
          <w:sz w:val="24"/>
          <w:szCs w:val="24"/>
          <w:lang w:eastAsia="en-GB"/>
        </w:rPr>
      </w:pPr>
      <w:r w:rsidRPr="00DB36C4">
        <w:rPr>
          <w:rFonts w:ascii="Arial" w:eastAsia="Times New Roman" w:hAnsi="Arial" w:cs="Calibri"/>
          <w:bCs/>
          <w:iCs/>
          <w:sz w:val="24"/>
          <w:szCs w:val="24"/>
          <w:lang w:eastAsia="en-GB"/>
        </w:rPr>
        <w:t>Cabinet noted the report.</w:t>
      </w:r>
    </w:p>
    <w:p w14:paraId="5E6B8040" w14:textId="77777777" w:rsidR="00DB36C4" w:rsidRPr="00DB36C4" w:rsidRDefault="00DB36C4" w:rsidP="00DB36C4">
      <w:pPr>
        <w:spacing w:after="0" w:line="240" w:lineRule="auto"/>
        <w:jc w:val="both"/>
        <w:rPr>
          <w:rFonts w:ascii="Arial" w:eastAsia="Times New Roman" w:hAnsi="Arial" w:cs="Calibri"/>
          <w:bCs/>
          <w:iCs/>
          <w:sz w:val="24"/>
          <w:szCs w:val="24"/>
          <w:lang w:eastAsia="en-GB"/>
        </w:rPr>
      </w:pPr>
    </w:p>
    <w:p w14:paraId="4C0DBB81" w14:textId="08CFCBFA" w:rsidR="00486ECB" w:rsidRPr="0026050B" w:rsidRDefault="00DB36C4" w:rsidP="0026050B">
      <w:pPr>
        <w:rPr>
          <w:rFonts w:ascii="Arial" w:hAnsi="Arial" w:cs="Arial"/>
          <w:b/>
          <w:bCs/>
          <w:sz w:val="24"/>
          <w:szCs w:val="24"/>
        </w:rPr>
      </w:pPr>
      <w:r w:rsidRPr="00DB36C4">
        <w:rPr>
          <w:rFonts w:ascii="Arial" w:hAnsi="Arial" w:cs="Arial"/>
          <w:b/>
          <w:bCs/>
          <w:sz w:val="24"/>
          <w:szCs w:val="24"/>
        </w:rPr>
        <w:t>Capital and Balance Sheet Monitoring Report Q1</w:t>
      </w:r>
    </w:p>
    <w:bookmarkEnd w:id="1"/>
    <w:p w14:paraId="5917036E" w14:textId="1CBDE491" w:rsidR="00DC47E3" w:rsidRPr="004875AA" w:rsidRDefault="00DC47E3" w:rsidP="00DC47E3">
      <w:pPr>
        <w:spacing w:after="0" w:line="252" w:lineRule="auto"/>
        <w:jc w:val="both"/>
        <w:rPr>
          <w:rFonts w:ascii="Arial" w:hAnsi="Arial" w:cs="Arial"/>
          <w:b/>
          <w:bCs/>
          <w:sz w:val="24"/>
          <w:szCs w:val="24"/>
        </w:rPr>
      </w:pPr>
    </w:p>
    <w:bookmarkEnd w:id="0"/>
    <w:p w14:paraId="2D93BB8B" w14:textId="274A0546" w:rsidR="00DB36C4" w:rsidRPr="00DB36C4" w:rsidRDefault="00DB36C4" w:rsidP="00DB36C4">
      <w:pPr>
        <w:pStyle w:val="ListParagraph"/>
        <w:numPr>
          <w:ilvl w:val="0"/>
          <w:numId w:val="1"/>
        </w:numPr>
        <w:spacing w:after="0" w:line="240" w:lineRule="auto"/>
        <w:jc w:val="both"/>
        <w:rPr>
          <w:rFonts w:ascii="Arial" w:eastAsia="Times New Roman" w:hAnsi="Arial" w:cstheme="minorHAnsi"/>
          <w:bCs/>
          <w:iCs/>
          <w:sz w:val="24"/>
          <w:szCs w:val="24"/>
          <w:lang w:eastAsia="en-GB"/>
        </w:rPr>
      </w:pPr>
      <w:r w:rsidRPr="00DB36C4">
        <w:rPr>
          <w:rFonts w:ascii="Arial" w:eastAsia="Times New Roman" w:hAnsi="Arial" w:cs="Times New Roman"/>
          <w:sz w:val="24"/>
          <w:szCs w:val="24"/>
          <w:lang w:val="en-US" w:eastAsia="en-GB"/>
        </w:rPr>
        <w:t xml:space="preserve">The Cabinet Member (Finance, Property and Assets) presented a report of the Director of Finance and Section 151 officer which outlined the  financial position of the Council in respect of the capital programme as at 31 July 2022, </w:t>
      </w:r>
      <w:r w:rsidRPr="00DB36C4">
        <w:rPr>
          <w:rFonts w:ascii="Arial" w:eastAsia="Times New Roman" w:hAnsi="Arial" w:cstheme="minorHAnsi"/>
          <w:bCs/>
          <w:iCs/>
          <w:sz w:val="24"/>
          <w:szCs w:val="24"/>
          <w:lang w:eastAsia="en-GB"/>
        </w:rPr>
        <w:t>highlighting key issues and explaining key variances, and providing an overview of various elements of the Council’s Balance Sheet as at 31st July 2022.</w:t>
      </w:r>
    </w:p>
    <w:p w14:paraId="178E8224" w14:textId="77777777" w:rsidR="00DB36C4" w:rsidRPr="00DB36C4" w:rsidRDefault="00DB36C4" w:rsidP="00DB36C4">
      <w:pPr>
        <w:spacing w:after="0" w:line="240" w:lineRule="auto"/>
        <w:jc w:val="both"/>
        <w:rPr>
          <w:rFonts w:ascii="Arial" w:eastAsia="Times New Roman" w:hAnsi="Arial" w:cstheme="minorHAnsi"/>
          <w:bCs/>
          <w:iCs/>
          <w:sz w:val="24"/>
          <w:szCs w:val="24"/>
          <w:lang w:eastAsia="en-GB"/>
        </w:rPr>
      </w:pPr>
    </w:p>
    <w:p w14:paraId="17D7CD94" w14:textId="6C769356" w:rsidR="00DB36C4" w:rsidRPr="00AF49F1" w:rsidRDefault="00AF49F1" w:rsidP="00AF49F1">
      <w:pPr>
        <w:pStyle w:val="ListParagraph"/>
        <w:keepNext/>
        <w:numPr>
          <w:ilvl w:val="0"/>
          <w:numId w:val="1"/>
        </w:numPr>
        <w:spacing w:before="240" w:after="0" w:line="240" w:lineRule="auto"/>
        <w:outlineLvl w:val="1"/>
        <w:rPr>
          <w:rFonts w:ascii="Arial" w:eastAsiaTheme="minorEastAsia" w:hAnsi="Arial" w:cstheme="majorHAnsi"/>
          <w:iCs/>
          <w:sz w:val="24"/>
          <w:szCs w:val="28"/>
          <w:lang w:eastAsia="en-GB"/>
        </w:rPr>
      </w:pPr>
      <w:r w:rsidRPr="00AF49F1">
        <w:rPr>
          <w:rFonts w:ascii="Arial" w:eastAsiaTheme="minorEastAsia" w:hAnsi="Arial" w:cstheme="majorHAnsi"/>
          <w:iCs/>
          <w:sz w:val="24"/>
          <w:szCs w:val="28"/>
          <w:lang w:eastAsia="en-GB"/>
        </w:rPr>
        <w:t>Cabinet agreed:</w:t>
      </w:r>
    </w:p>
    <w:p w14:paraId="4CF66C60" w14:textId="77777777" w:rsidR="00DB36C4" w:rsidRPr="00DB36C4" w:rsidRDefault="00DB36C4" w:rsidP="00DB36C4">
      <w:pPr>
        <w:spacing w:after="0" w:line="240" w:lineRule="auto"/>
        <w:rPr>
          <w:rFonts w:ascii="Arial" w:eastAsia="Times New Roman" w:hAnsi="Arial" w:cs="Times New Roman"/>
          <w:sz w:val="24"/>
          <w:szCs w:val="24"/>
          <w:lang w:eastAsia="en-GB"/>
        </w:rPr>
      </w:pPr>
    </w:p>
    <w:p w14:paraId="24A86EE7" w14:textId="7219E394" w:rsidR="00DB36C4" w:rsidRPr="00505145" w:rsidRDefault="00DB36C4" w:rsidP="00505145">
      <w:pPr>
        <w:pStyle w:val="ListParagraph"/>
        <w:numPr>
          <w:ilvl w:val="0"/>
          <w:numId w:val="19"/>
        </w:numPr>
        <w:spacing w:after="0" w:line="240" w:lineRule="auto"/>
        <w:jc w:val="both"/>
        <w:rPr>
          <w:rFonts w:ascii="Arial" w:eastAsia="Times New Roman" w:hAnsi="Arial" w:cstheme="minorHAnsi"/>
          <w:bCs/>
          <w:iCs/>
          <w:sz w:val="24"/>
          <w:szCs w:val="24"/>
          <w:lang w:eastAsia="en-GB"/>
        </w:rPr>
      </w:pPr>
      <w:r w:rsidRPr="00505145">
        <w:rPr>
          <w:rFonts w:ascii="Arial" w:eastAsia="Times New Roman" w:hAnsi="Arial" w:cstheme="minorHAnsi"/>
          <w:bCs/>
          <w:iCs/>
          <w:sz w:val="24"/>
          <w:szCs w:val="24"/>
          <w:lang w:eastAsia="en-GB"/>
        </w:rPr>
        <w:t xml:space="preserve">To approve the revised capital programme as attached at </w:t>
      </w:r>
      <w:r w:rsidRPr="00505145">
        <w:rPr>
          <w:rFonts w:ascii="Arial" w:eastAsia="Times New Roman" w:hAnsi="Arial" w:cstheme="minorHAnsi"/>
          <w:b/>
          <w:bCs/>
          <w:iCs/>
          <w:sz w:val="24"/>
          <w:szCs w:val="24"/>
          <w:lang w:eastAsia="en-GB"/>
        </w:rPr>
        <w:t>Appendix A</w:t>
      </w:r>
      <w:r w:rsidRPr="00505145">
        <w:rPr>
          <w:rFonts w:ascii="Arial" w:eastAsia="Times New Roman" w:hAnsi="Arial" w:cstheme="minorHAnsi"/>
          <w:bCs/>
          <w:iCs/>
          <w:sz w:val="24"/>
          <w:szCs w:val="24"/>
          <w:lang w:eastAsia="en-GB"/>
        </w:rPr>
        <w:t xml:space="preserve"> which </w:t>
      </w:r>
      <w:r w:rsidRPr="00505145">
        <w:rPr>
          <w:rFonts w:ascii="Arial" w:eastAsia="Times New Roman" w:hAnsi="Arial" w:cstheme="minorHAnsi"/>
          <w:bCs/>
          <w:sz w:val="24"/>
          <w:szCs w:val="24"/>
          <w:lang w:eastAsia="en-GB"/>
        </w:rPr>
        <w:t>includes approved amendments to the programme, as detailed at point 11 of the report, since the last Capital Monitoring report was approved by Cabinet in June 2022;</w:t>
      </w:r>
    </w:p>
    <w:p w14:paraId="6CB34717" w14:textId="77777777" w:rsidR="00DB36C4" w:rsidRPr="00DB36C4" w:rsidRDefault="00DB36C4" w:rsidP="00DB36C4">
      <w:pPr>
        <w:spacing w:after="0" w:line="240" w:lineRule="auto"/>
        <w:ind w:left="360"/>
        <w:jc w:val="both"/>
        <w:rPr>
          <w:rFonts w:ascii="Arial" w:eastAsia="Times New Roman" w:hAnsi="Arial" w:cstheme="minorHAnsi"/>
          <w:bCs/>
          <w:iCs/>
          <w:sz w:val="24"/>
          <w:szCs w:val="24"/>
          <w:lang w:eastAsia="en-GB"/>
        </w:rPr>
      </w:pPr>
    </w:p>
    <w:p w14:paraId="34BB3FE2" w14:textId="1B36DD7D" w:rsidR="00DB36C4" w:rsidRPr="00505145" w:rsidRDefault="00DB36C4" w:rsidP="00505145">
      <w:pPr>
        <w:pStyle w:val="ListParagraph"/>
        <w:numPr>
          <w:ilvl w:val="0"/>
          <w:numId w:val="19"/>
        </w:numPr>
        <w:spacing w:after="0" w:line="240" w:lineRule="auto"/>
        <w:jc w:val="both"/>
        <w:rPr>
          <w:rFonts w:ascii="Arial" w:eastAsia="Times New Roman" w:hAnsi="Arial" w:cstheme="minorHAnsi"/>
          <w:bCs/>
          <w:iCs/>
          <w:sz w:val="24"/>
          <w:szCs w:val="24"/>
          <w:lang w:eastAsia="en-GB"/>
        </w:rPr>
      </w:pPr>
      <w:r w:rsidRPr="00505145">
        <w:rPr>
          <w:rFonts w:ascii="Arial" w:eastAsia="Times New Roman" w:hAnsi="Arial" w:cstheme="minorHAnsi"/>
          <w:bCs/>
          <w:iCs/>
          <w:sz w:val="24"/>
          <w:szCs w:val="24"/>
          <w:lang w:eastAsia="en-GB"/>
        </w:rPr>
        <w:t xml:space="preserve">To note the variations to the programme, (which are detailed, by scheme, at </w:t>
      </w:r>
      <w:r w:rsidRPr="00505145">
        <w:rPr>
          <w:rFonts w:ascii="Arial" w:eastAsia="Times New Roman" w:hAnsi="Arial" w:cstheme="minorHAnsi"/>
          <w:b/>
          <w:bCs/>
          <w:iCs/>
          <w:sz w:val="24"/>
          <w:szCs w:val="24"/>
          <w:lang w:eastAsia="en-GB"/>
        </w:rPr>
        <w:t xml:space="preserve">Appendix B </w:t>
      </w:r>
      <w:r w:rsidRPr="00505145">
        <w:rPr>
          <w:rFonts w:ascii="Arial" w:eastAsia="Times New Roman" w:hAnsi="Arial" w:cstheme="minorHAnsi"/>
          <w:bCs/>
          <w:sz w:val="24"/>
          <w:szCs w:val="24"/>
          <w:lang w:eastAsia="en-GB"/>
        </w:rPr>
        <w:t>and referenced within the body of the report);</w:t>
      </w:r>
    </w:p>
    <w:p w14:paraId="0E8E84C4" w14:textId="77777777" w:rsidR="00DB36C4" w:rsidRPr="00DB36C4" w:rsidRDefault="00DB36C4" w:rsidP="00DB36C4">
      <w:pPr>
        <w:spacing w:after="0" w:line="240" w:lineRule="auto"/>
        <w:jc w:val="both"/>
        <w:rPr>
          <w:rFonts w:ascii="Arial" w:eastAsia="Times New Roman" w:hAnsi="Arial" w:cstheme="minorHAnsi"/>
          <w:bCs/>
          <w:iCs/>
          <w:sz w:val="24"/>
          <w:szCs w:val="24"/>
          <w:lang w:eastAsia="en-GB"/>
        </w:rPr>
      </w:pPr>
    </w:p>
    <w:p w14:paraId="0C880782" w14:textId="163BAE7C" w:rsidR="00DB36C4" w:rsidRPr="00505145" w:rsidRDefault="00DB36C4" w:rsidP="00505145">
      <w:pPr>
        <w:pStyle w:val="ListParagraph"/>
        <w:numPr>
          <w:ilvl w:val="0"/>
          <w:numId w:val="19"/>
        </w:numPr>
        <w:spacing w:after="0" w:line="240" w:lineRule="auto"/>
        <w:jc w:val="both"/>
        <w:rPr>
          <w:rFonts w:ascii="Arial" w:eastAsia="Times New Roman" w:hAnsi="Arial" w:cstheme="minorHAnsi"/>
          <w:bCs/>
          <w:iCs/>
          <w:sz w:val="24"/>
          <w:szCs w:val="24"/>
          <w:lang w:eastAsia="en-GB"/>
        </w:rPr>
      </w:pPr>
      <w:r w:rsidRPr="00505145">
        <w:rPr>
          <w:rFonts w:ascii="Arial" w:eastAsia="Times New Roman" w:hAnsi="Arial" w:cstheme="minorHAnsi"/>
          <w:bCs/>
          <w:iCs/>
          <w:sz w:val="24"/>
          <w:szCs w:val="24"/>
          <w:lang w:eastAsia="en-GB"/>
        </w:rPr>
        <w:t>To note the position in the Balance Sheet Monitoring section of the report in respect of cash, investment and loan balances and debtors as at 31</w:t>
      </w:r>
      <w:r w:rsidRPr="00505145">
        <w:rPr>
          <w:rFonts w:ascii="Arial" w:eastAsia="Times New Roman" w:hAnsi="Arial" w:cstheme="minorHAnsi"/>
          <w:bCs/>
          <w:iCs/>
          <w:sz w:val="24"/>
          <w:szCs w:val="24"/>
          <w:vertAlign w:val="superscript"/>
          <w:lang w:eastAsia="en-GB"/>
        </w:rPr>
        <w:t>st</w:t>
      </w:r>
      <w:r w:rsidRPr="00505145">
        <w:rPr>
          <w:rFonts w:ascii="Arial" w:eastAsia="Times New Roman" w:hAnsi="Arial" w:cstheme="minorHAnsi"/>
          <w:bCs/>
          <w:iCs/>
          <w:sz w:val="24"/>
          <w:szCs w:val="24"/>
          <w:lang w:eastAsia="en-GB"/>
        </w:rPr>
        <w:t xml:space="preserve"> July 2022.</w:t>
      </w:r>
    </w:p>
    <w:p w14:paraId="3135C3EF" w14:textId="0A143A80" w:rsidR="008776A0" w:rsidRPr="008776A0" w:rsidRDefault="008776A0" w:rsidP="008776A0">
      <w:pPr>
        <w:spacing w:after="0" w:line="240" w:lineRule="auto"/>
        <w:jc w:val="both"/>
        <w:rPr>
          <w:rFonts w:ascii="Arial" w:eastAsia="Times New Roman" w:hAnsi="Arial" w:cstheme="minorHAnsi"/>
          <w:bCs/>
          <w:sz w:val="24"/>
          <w:szCs w:val="24"/>
          <w:lang w:eastAsia="en-GB"/>
        </w:rPr>
      </w:pPr>
    </w:p>
    <w:p w14:paraId="4E44AEC9" w14:textId="77777777" w:rsidR="00FD3C79" w:rsidRDefault="004875AA" w:rsidP="00495D7E">
      <w:pPr>
        <w:rPr>
          <w:rFonts w:ascii="Arial" w:hAnsi="Arial" w:cs="Arial"/>
          <w:b/>
          <w:bCs/>
          <w:sz w:val="24"/>
          <w:szCs w:val="24"/>
        </w:rPr>
      </w:pPr>
      <w:r w:rsidRPr="000F00C3">
        <w:rPr>
          <w:rFonts w:ascii="Arial" w:hAnsi="Arial" w:cs="Arial"/>
          <w:b/>
          <w:bCs/>
          <w:sz w:val="24"/>
          <w:szCs w:val="24"/>
        </w:rPr>
        <w:t> </w:t>
      </w:r>
    </w:p>
    <w:p w14:paraId="569A6CF8" w14:textId="77777777" w:rsidR="00FD3C79" w:rsidRDefault="00FD3C79">
      <w:pPr>
        <w:rPr>
          <w:rFonts w:ascii="Arial" w:hAnsi="Arial" w:cs="Arial"/>
          <w:b/>
          <w:bCs/>
          <w:sz w:val="24"/>
          <w:szCs w:val="24"/>
        </w:rPr>
      </w:pPr>
      <w:r>
        <w:rPr>
          <w:rFonts w:ascii="Arial" w:hAnsi="Arial" w:cs="Arial"/>
          <w:b/>
          <w:bCs/>
          <w:sz w:val="24"/>
          <w:szCs w:val="24"/>
        </w:rPr>
        <w:br w:type="page"/>
      </w:r>
    </w:p>
    <w:p w14:paraId="53FC7A3B" w14:textId="3BF239A6" w:rsidR="00495D7E" w:rsidRPr="000F00C3" w:rsidRDefault="00AF49F1" w:rsidP="00495D7E">
      <w:pPr>
        <w:rPr>
          <w:rFonts w:ascii="Arial" w:hAnsi="Arial" w:cs="Arial"/>
          <w:b/>
          <w:bCs/>
          <w:iCs/>
          <w:sz w:val="24"/>
          <w:szCs w:val="24"/>
        </w:rPr>
      </w:pPr>
      <w:r w:rsidRPr="00AF49F1">
        <w:rPr>
          <w:rFonts w:ascii="Arial" w:hAnsi="Arial" w:cs="Arial"/>
          <w:b/>
          <w:bCs/>
          <w:sz w:val="24"/>
          <w:szCs w:val="24"/>
        </w:rPr>
        <w:lastRenderedPageBreak/>
        <w:t>Revenue Budget Monitoring Q1</w:t>
      </w:r>
    </w:p>
    <w:p w14:paraId="2F4166FA" w14:textId="0D47A610" w:rsidR="00AF49F1" w:rsidRPr="00AF49F1" w:rsidRDefault="00AF49F1" w:rsidP="00AF49F1">
      <w:pPr>
        <w:pStyle w:val="ListParagraph"/>
        <w:numPr>
          <w:ilvl w:val="0"/>
          <w:numId w:val="1"/>
        </w:numPr>
        <w:spacing w:after="0" w:line="240" w:lineRule="auto"/>
        <w:jc w:val="both"/>
        <w:rPr>
          <w:rFonts w:ascii="Arial" w:eastAsia="Times New Roman" w:hAnsi="Arial" w:cs="Calibri"/>
          <w:bCs/>
          <w:iCs/>
          <w:sz w:val="24"/>
          <w:szCs w:val="24"/>
          <w:lang w:eastAsia="en-GB"/>
        </w:rPr>
      </w:pPr>
      <w:r w:rsidRPr="00AF49F1">
        <w:rPr>
          <w:rFonts w:ascii="Arial" w:eastAsia="Times New Roman" w:hAnsi="Arial" w:cs="Times New Roman"/>
          <w:sz w:val="24"/>
          <w:szCs w:val="24"/>
          <w:lang w:val="en-US" w:eastAsia="en-GB"/>
        </w:rPr>
        <w:t xml:space="preserve">The Cabinet Member (Finance, Property and Assets) presented a report of the Director of Finance and Section 151 officer </w:t>
      </w:r>
      <w:r w:rsidRPr="00AF49F1">
        <w:rPr>
          <w:rFonts w:ascii="Arial" w:eastAsia="Times New Roman" w:hAnsi="Arial" w:cs="Calibri"/>
          <w:bCs/>
          <w:iCs/>
          <w:sz w:val="24"/>
          <w:szCs w:val="24"/>
          <w:lang w:eastAsia="en-GB"/>
        </w:rPr>
        <w:t>setting out the revenue and reserves forecast for 2022/23 for the Council, based on the position as at 31</w:t>
      </w:r>
      <w:r w:rsidRPr="00AF49F1">
        <w:rPr>
          <w:rFonts w:ascii="Arial" w:eastAsia="Times New Roman" w:hAnsi="Arial" w:cs="Calibri"/>
          <w:bCs/>
          <w:iCs/>
          <w:sz w:val="24"/>
          <w:szCs w:val="24"/>
          <w:vertAlign w:val="superscript"/>
          <w:lang w:eastAsia="en-GB"/>
        </w:rPr>
        <w:t xml:space="preserve"> </w:t>
      </w:r>
      <w:r w:rsidRPr="00AF49F1">
        <w:rPr>
          <w:rFonts w:ascii="Arial" w:eastAsia="Times New Roman" w:hAnsi="Arial" w:cs="Calibri"/>
          <w:bCs/>
          <w:iCs/>
          <w:sz w:val="24"/>
          <w:szCs w:val="24"/>
          <w:lang w:eastAsia="en-GB"/>
        </w:rPr>
        <w:t>July 2022.</w:t>
      </w:r>
    </w:p>
    <w:p w14:paraId="7B184A47" w14:textId="77777777" w:rsidR="00AF49F1" w:rsidRPr="00AF49F1" w:rsidRDefault="00AF49F1" w:rsidP="00AF49F1">
      <w:pPr>
        <w:spacing w:after="0" w:line="240" w:lineRule="auto"/>
        <w:jc w:val="both"/>
        <w:rPr>
          <w:rFonts w:ascii="Arial" w:eastAsia="Times New Roman" w:hAnsi="Arial" w:cs="Calibri"/>
          <w:bCs/>
          <w:iCs/>
          <w:sz w:val="24"/>
          <w:szCs w:val="24"/>
          <w:lang w:eastAsia="en-GB"/>
        </w:rPr>
      </w:pPr>
    </w:p>
    <w:p w14:paraId="409A74F5" w14:textId="7E5D094E" w:rsidR="00AF49F1" w:rsidRDefault="00AF49F1" w:rsidP="00AF49F1">
      <w:pPr>
        <w:pStyle w:val="ListParagraph"/>
        <w:numPr>
          <w:ilvl w:val="0"/>
          <w:numId w:val="1"/>
        </w:num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Cabinet agreed:</w:t>
      </w:r>
    </w:p>
    <w:p w14:paraId="523B03A0" w14:textId="77777777" w:rsidR="00AF49F1" w:rsidRPr="00AF49F1" w:rsidRDefault="00AF49F1" w:rsidP="00AF49F1">
      <w:pPr>
        <w:pStyle w:val="ListParagraph"/>
        <w:spacing w:after="0" w:line="240" w:lineRule="auto"/>
        <w:ind w:left="502"/>
        <w:rPr>
          <w:rFonts w:ascii="Arial" w:eastAsia="Times New Roman" w:hAnsi="Arial" w:cs="Times New Roman"/>
          <w:sz w:val="24"/>
          <w:szCs w:val="24"/>
          <w:lang w:eastAsia="en-GB"/>
        </w:rPr>
      </w:pPr>
    </w:p>
    <w:p w14:paraId="0085A736" w14:textId="4A15DE81" w:rsidR="00AF49F1" w:rsidRPr="00A17815" w:rsidRDefault="00AF49F1" w:rsidP="00A17815">
      <w:pPr>
        <w:pStyle w:val="ListParagraph"/>
        <w:numPr>
          <w:ilvl w:val="0"/>
          <w:numId w:val="20"/>
        </w:numPr>
        <w:spacing w:after="0" w:line="240" w:lineRule="auto"/>
        <w:jc w:val="both"/>
        <w:rPr>
          <w:rFonts w:ascii="Arial" w:eastAsia="Times New Roman" w:hAnsi="Arial" w:cs="Calibri"/>
          <w:bCs/>
          <w:iCs/>
          <w:sz w:val="24"/>
          <w:szCs w:val="24"/>
          <w:lang w:eastAsia="en-GB"/>
        </w:rPr>
      </w:pPr>
      <w:r w:rsidRPr="00A17815">
        <w:rPr>
          <w:rFonts w:ascii="Arial" w:eastAsia="Times New Roman" w:hAnsi="Arial" w:cs="Calibri"/>
          <w:bCs/>
          <w:iCs/>
          <w:sz w:val="24"/>
          <w:szCs w:val="24"/>
          <w:lang w:eastAsia="en-GB"/>
        </w:rPr>
        <w:t>To note the forecast outturn for revenue and the level of reserves based on the position as at 31</w:t>
      </w:r>
      <w:r w:rsidRPr="00A17815">
        <w:rPr>
          <w:rFonts w:ascii="Arial" w:eastAsia="Times New Roman" w:hAnsi="Arial" w:cs="Calibri"/>
          <w:bCs/>
          <w:iCs/>
          <w:sz w:val="24"/>
          <w:szCs w:val="24"/>
          <w:vertAlign w:val="superscript"/>
          <w:lang w:eastAsia="en-GB"/>
        </w:rPr>
        <w:t>st</w:t>
      </w:r>
      <w:r w:rsidRPr="00A17815">
        <w:rPr>
          <w:rFonts w:ascii="Arial" w:eastAsia="Times New Roman" w:hAnsi="Arial" w:cs="Calibri"/>
          <w:bCs/>
          <w:iCs/>
          <w:sz w:val="24"/>
          <w:szCs w:val="24"/>
          <w:lang w:eastAsia="en-GB"/>
        </w:rPr>
        <w:t xml:space="preserve"> July 2022.</w:t>
      </w:r>
    </w:p>
    <w:p w14:paraId="226C6BAE" w14:textId="77777777" w:rsidR="00AF49F1" w:rsidRPr="00AF49F1" w:rsidRDefault="00AF49F1" w:rsidP="00AF49F1">
      <w:pPr>
        <w:spacing w:after="0" w:line="240" w:lineRule="auto"/>
        <w:ind w:left="360"/>
        <w:jc w:val="both"/>
        <w:rPr>
          <w:rFonts w:ascii="Arial" w:eastAsia="Times New Roman" w:hAnsi="Arial" w:cs="Calibri"/>
          <w:bCs/>
          <w:iCs/>
          <w:sz w:val="24"/>
          <w:szCs w:val="24"/>
          <w:lang w:eastAsia="en-GB"/>
        </w:rPr>
      </w:pPr>
    </w:p>
    <w:p w14:paraId="346BBA5E" w14:textId="6C165D03" w:rsidR="00AF49F1" w:rsidRPr="00A17815" w:rsidRDefault="00AF49F1" w:rsidP="00A17815">
      <w:pPr>
        <w:pStyle w:val="ListParagraph"/>
        <w:numPr>
          <w:ilvl w:val="0"/>
          <w:numId w:val="20"/>
        </w:numPr>
        <w:spacing w:after="0" w:line="240" w:lineRule="auto"/>
        <w:jc w:val="both"/>
        <w:rPr>
          <w:rFonts w:ascii="Arial" w:eastAsia="Arial" w:hAnsi="Arial" w:cs="Arial"/>
          <w:bCs/>
          <w:iCs/>
          <w:sz w:val="24"/>
          <w:szCs w:val="24"/>
        </w:rPr>
      </w:pPr>
      <w:bookmarkStart w:id="2" w:name="_Hlk104193910"/>
      <w:r w:rsidRPr="00A17815">
        <w:rPr>
          <w:rFonts w:ascii="Arial" w:hAnsi="Arial" w:cs="Arial"/>
          <w:bCs/>
          <w:iCs/>
          <w:sz w:val="24"/>
          <w:szCs w:val="24"/>
        </w:rPr>
        <w:t xml:space="preserve">To </w:t>
      </w:r>
      <w:r w:rsidRPr="00A17815">
        <w:rPr>
          <w:rFonts w:ascii="Arial" w:eastAsia="Arial" w:hAnsi="Arial" w:cs="Arial"/>
          <w:bCs/>
          <w:iCs/>
          <w:sz w:val="24"/>
          <w:szCs w:val="24"/>
        </w:rPr>
        <w:t xml:space="preserve">note the virements made to and from the revenue budget during the period, as detailed in </w:t>
      </w:r>
      <w:r w:rsidRPr="00A17815">
        <w:rPr>
          <w:rFonts w:ascii="Arial" w:eastAsia="Arial" w:hAnsi="Arial" w:cs="Arial"/>
          <w:b/>
          <w:iCs/>
          <w:sz w:val="24"/>
          <w:szCs w:val="24"/>
        </w:rPr>
        <w:t>Appendix 2</w:t>
      </w:r>
      <w:r w:rsidRPr="00A17815">
        <w:rPr>
          <w:rFonts w:ascii="Arial" w:eastAsia="Arial" w:hAnsi="Arial" w:cs="Arial"/>
          <w:bCs/>
          <w:iCs/>
          <w:sz w:val="24"/>
          <w:szCs w:val="24"/>
        </w:rPr>
        <w:t xml:space="preserve"> of the report.</w:t>
      </w:r>
    </w:p>
    <w:p w14:paraId="7216ECA3" w14:textId="77777777" w:rsidR="00EC3057" w:rsidRPr="00EC3057" w:rsidRDefault="00EC3057" w:rsidP="00EC3057">
      <w:pPr>
        <w:spacing w:after="0" w:line="240" w:lineRule="auto"/>
        <w:ind w:left="720"/>
        <w:contextualSpacing/>
        <w:rPr>
          <w:rFonts w:ascii="Arial" w:eastAsia="Times New Roman" w:hAnsi="Arial" w:cs="Times New Roman"/>
          <w:b/>
          <w:bCs/>
          <w:sz w:val="24"/>
          <w:szCs w:val="24"/>
          <w:lang w:eastAsia="en-GB"/>
        </w:rPr>
      </w:pPr>
      <w:bookmarkStart w:id="3" w:name="_Hlk93911577"/>
      <w:bookmarkEnd w:id="2"/>
    </w:p>
    <w:p w14:paraId="1D3504C0" w14:textId="77777777" w:rsidR="00EC3057" w:rsidRPr="00EC3057" w:rsidRDefault="00EC3057" w:rsidP="00EC3057">
      <w:pPr>
        <w:spacing w:after="0" w:line="240" w:lineRule="auto"/>
        <w:rPr>
          <w:rFonts w:ascii="Arial" w:eastAsia="Times New Roman" w:hAnsi="Arial" w:cs="Times New Roman"/>
          <w:b/>
          <w:bCs/>
          <w:sz w:val="24"/>
          <w:szCs w:val="24"/>
          <w:lang w:eastAsia="en-GB"/>
        </w:rPr>
      </w:pPr>
    </w:p>
    <w:p w14:paraId="167E64AD" w14:textId="59283657" w:rsidR="00C9064E" w:rsidRPr="002E4377" w:rsidRDefault="00B562DD" w:rsidP="00C9064E">
      <w:pPr>
        <w:rPr>
          <w:rFonts w:ascii="Arial" w:eastAsia="Arial" w:hAnsi="Arial" w:cs="Arial"/>
          <w:b/>
          <w:bCs/>
          <w:sz w:val="24"/>
          <w:szCs w:val="24"/>
        </w:rPr>
      </w:pPr>
      <w:bookmarkStart w:id="4" w:name="_Hlk98242504"/>
      <w:bookmarkEnd w:id="3"/>
      <w:r w:rsidRPr="00B562DD">
        <w:rPr>
          <w:rFonts w:ascii="Arial" w:eastAsia="Arial" w:hAnsi="Arial" w:cs="Arial"/>
          <w:b/>
          <w:bCs/>
          <w:sz w:val="24"/>
          <w:szCs w:val="24"/>
        </w:rPr>
        <w:t>Worden Park Improvement Plan</w:t>
      </w:r>
    </w:p>
    <w:p w14:paraId="7E2E28DF" w14:textId="2EC55941" w:rsidR="00525F88" w:rsidRPr="00525F88" w:rsidRDefault="00525F88" w:rsidP="00525F88">
      <w:pPr>
        <w:pStyle w:val="ListParagraph"/>
        <w:numPr>
          <w:ilvl w:val="0"/>
          <w:numId w:val="1"/>
        </w:numPr>
        <w:jc w:val="both"/>
        <w:rPr>
          <w:rFonts w:ascii="Arial" w:hAnsi="Arial" w:cs="Arial"/>
          <w:bCs/>
          <w:iCs/>
          <w:sz w:val="24"/>
          <w:szCs w:val="24"/>
        </w:rPr>
      </w:pPr>
      <w:bookmarkStart w:id="5" w:name="_Hlk93914457"/>
      <w:bookmarkEnd w:id="4"/>
      <w:r w:rsidRPr="00525F88">
        <w:rPr>
          <w:rFonts w:ascii="Arial" w:hAnsi="Arial" w:cs="Arial"/>
          <w:sz w:val="24"/>
          <w:szCs w:val="24"/>
          <w:lang w:val="en-US"/>
        </w:rPr>
        <w:t>The Cabinet Member (Finance, Property and Assets) presented a report of the Director of Commercial t</w:t>
      </w:r>
      <w:r w:rsidRPr="00525F88">
        <w:rPr>
          <w:rFonts w:ascii="Arial" w:hAnsi="Arial" w:cs="Arial"/>
          <w:bCs/>
          <w:iCs/>
          <w:sz w:val="24"/>
          <w:szCs w:val="24"/>
        </w:rPr>
        <w:t>o consider the Draft Improvement Masterplan for Worden Park.</w:t>
      </w:r>
    </w:p>
    <w:p w14:paraId="4BE2FB75" w14:textId="77777777" w:rsidR="00525F88" w:rsidRPr="00525F88" w:rsidRDefault="00525F88" w:rsidP="00525F88">
      <w:pPr>
        <w:pStyle w:val="Heading2"/>
        <w:spacing w:before="0"/>
        <w:rPr>
          <w:szCs w:val="24"/>
        </w:rPr>
      </w:pPr>
    </w:p>
    <w:p w14:paraId="50AF5DBD" w14:textId="23682348" w:rsidR="00525F88" w:rsidRPr="00525F88" w:rsidRDefault="00525F88" w:rsidP="00525F88">
      <w:pPr>
        <w:pStyle w:val="ListParagraph"/>
        <w:numPr>
          <w:ilvl w:val="0"/>
          <w:numId w:val="1"/>
        </w:numPr>
        <w:rPr>
          <w:rFonts w:ascii="Arial" w:hAnsi="Arial" w:cs="Arial"/>
          <w:bCs/>
          <w:iCs/>
        </w:rPr>
      </w:pPr>
      <w:r w:rsidRPr="00F14E26">
        <w:rPr>
          <w:rFonts w:ascii="Arial" w:hAnsi="Arial" w:cs="Arial"/>
          <w:bCs/>
          <w:iCs/>
          <w:sz w:val="24"/>
          <w:szCs w:val="24"/>
        </w:rPr>
        <w:t>Agreement of the outline proposals was sought to allow the project scope to be defined prior to the start of the detailed design phase, public consultation and application for planning consent</w:t>
      </w:r>
      <w:r w:rsidRPr="00525F88">
        <w:rPr>
          <w:rFonts w:ascii="Arial" w:hAnsi="Arial" w:cs="Arial"/>
          <w:bCs/>
          <w:iCs/>
        </w:rPr>
        <w:t xml:space="preserve">.  </w:t>
      </w:r>
    </w:p>
    <w:p w14:paraId="5DD58880" w14:textId="5B200FFC" w:rsidR="00525F88" w:rsidRPr="00525F88" w:rsidRDefault="00525F88" w:rsidP="00525F88">
      <w:pPr>
        <w:rPr>
          <w:rFonts w:ascii="Arial" w:hAnsi="Arial" w:cs="Arial"/>
          <w:b/>
          <w:bCs/>
          <w:sz w:val="24"/>
          <w:szCs w:val="24"/>
        </w:rPr>
      </w:pPr>
    </w:p>
    <w:p w14:paraId="63E27DE6" w14:textId="5D7B2C23" w:rsidR="00525F88" w:rsidRDefault="00525F88" w:rsidP="00525F88">
      <w:pPr>
        <w:pStyle w:val="ListParagraph"/>
        <w:numPr>
          <w:ilvl w:val="0"/>
          <w:numId w:val="1"/>
        </w:numPr>
        <w:rPr>
          <w:rFonts w:ascii="Arial" w:hAnsi="Arial" w:cs="Arial"/>
          <w:sz w:val="24"/>
          <w:szCs w:val="24"/>
        </w:rPr>
      </w:pPr>
      <w:r>
        <w:rPr>
          <w:rFonts w:ascii="Arial" w:hAnsi="Arial" w:cs="Arial"/>
          <w:sz w:val="24"/>
          <w:szCs w:val="24"/>
        </w:rPr>
        <w:t>The following decision was taken:</w:t>
      </w:r>
    </w:p>
    <w:p w14:paraId="4BE06174" w14:textId="77777777" w:rsidR="00525F88" w:rsidRPr="00525F88" w:rsidRDefault="00525F88" w:rsidP="00525F88">
      <w:pPr>
        <w:pStyle w:val="ListParagraph"/>
        <w:rPr>
          <w:rFonts w:ascii="Arial" w:hAnsi="Arial" w:cs="Arial"/>
          <w:sz w:val="24"/>
          <w:szCs w:val="24"/>
        </w:rPr>
      </w:pPr>
    </w:p>
    <w:p w14:paraId="0304D3E0" w14:textId="1C792E03" w:rsidR="00525F88" w:rsidRPr="00525F88" w:rsidRDefault="00525F88" w:rsidP="00525F88">
      <w:pPr>
        <w:pStyle w:val="ListParagraph"/>
        <w:numPr>
          <w:ilvl w:val="0"/>
          <w:numId w:val="17"/>
        </w:numPr>
        <w:spacing w:after="0" w:line="240" w:lineRule="auto"/>
        <w:jc w:val="both"/>
        <w:rPr>
          <w:rFonts w:ascii="Arial" w:hAnsi="Arial" w:cs="Arial"/>
          <w:bCs/>
          <w:iCs/>
          <w:sz w:val="24"/>
          <w:szCs w:val="24"/>
        </w:rPr>
      </w:pPr>
      <w:r w:rsidRPr="00525F88">
        <w:rPr>
          <w:rFonts w:ascii="Arial" w:hAnsi="Arial" w:cs="Arial"/>
          <w:bCs/>
          <w:iCs/>
          <w:sz w:val="24"/>
          <w:szCs w:val="24"/>
        </w:rPr>
        <w:t>Cabinet reviewed the attached plan and agree</w:t>
      </w:r>
      <w:r>
        <w:rPr>
          <w:rFonts w:ascii="Arial" w:hAnsi="Arial" w:cs="Arial"/>
          <w:bCs/>
          <w:iCs/>
          <w:sz w:val="24"/>
          <w:szCs w:val="24"/>
        </w:rPr>
        <w:t>d to</w:t>
      </w:r>
      <w:r w:rsidRPr="00525F88">
        <w:rPr>
          <w:rFonts w:ascii="Arial" w:hAnsi="Arial" w:cs="Arial"/>
          <w:bCs/>
          <w:iCs/>
          <w:sz w:val="24"/>
          <w:szCs w:val="24"/>
        </w:rPr>
        <w:t xml:space="preserve"> the proposed scope of the project and outline proposals; and </w:t>
      </w:r>
    </w:p>
    <w:p w14:paraId="6B40DA64" w14:textId="77777777" w:rsidR="00525F88" w:rsidRPr="00525F88" w:rsidRDefault="00525F88" w:rsidP="00525F88">
      <w:pPr>
        <w:ind w:left="567"/>
        <w:jc w:val="both"/>
        <w:rPr>
          <w:rFonts w:ascii="Arial" w:hAnsi="Arial" w:cs="Arial"/>
          <w:bCs/>
          <w:iCs/>
          <w:sz w:val="24"/>
          <w:szCs w:val="24"/>
        </w:rPr>
      </w:pPr>
    </w:p>
    <w:p w14:paraId="32071A01" w14:textId="61CF6E1D" w:rsidR="00525F88" w:rsidRPr="00525F88" w:rsidRDefault="00525F88" w:rsidP="00525F88">
      <w:pPr>
        <w:pStyle w:val="ListParagraph"/>
        <w:numPr>
          <w:ilvl w:val="0"/>
          <w:numId w:val="17"/>
        </w:numPr>
        <w:spacing w:after="0" w:line="240" w:lineRule="auto"/>
        <w:jc w:val="both"/>
        <w:rPr>
          <w:rFonts w:ascii="Arial" w:hAnsi="Arial" w:cs="Arial"/>
          <w:bCs/>
          <w:iCs/>
          <w:sz w:val="24"/>
          <w:szCs w:val="24"/>
        </w:rPr>
      </w:pPr>
      <w:r w:rsidRPr="00525F88">
        <w:rPr>
          <w:rFonts w:ascii="Arial" w:hAnsi="Arial" w:cs="Arial"/>
          <w:bCs/>
          <w:iCs/>
          <w:sz w:val="24"/>
          <w:szCs w:val="24"/>
        </w:rPr>
        <w:t xml:space="preserve">Cabinet agreed </w:t>
      </w:r>
      <w:r>
        <w:rPr>
          <w:rFonts w:ascii="Arial" w:hAnsi="Arial" w:cs="Arial"/>
          <w:bCs/>
          <w:iCs/>
          <w:sz w:val="24"/>
          <w:szCs w:val="24"/>
        </w:rPr>
        <w:t xml:space="preserve">to </w:t>
      </w:r>
      <w:r w:rsidRPr="00525F88">
        <w:rPr>
          <w:rFonts w:ascii="Arial" w:hAnsi="Arial" w:cs="Arial"/>
          <w:bCs/>
          <w:iCs/>
          <w:sz w:val="24"/>
          <w:szCs w:val="24"/>
        </w:rPr>
        <w:t>a public consultation event to be held within the park to canvass views of the public on the proposed Masterplan.</w:t>
      </w:r>
    </w:p>
    <w:p w14:paraId="557D6384" w14:textId="77777777" w:rsidR="00525F88" w:rsidRPr="00525F88" w:rsidRDefault="00525F88" w:rsidP="00525F88">
      <w:pPr>
        <w:pStyle w:val="Heading2"/>
        <w:spacing w:before="0" w:after="240"/>
        <w:rPr>
          <w:szCs w:val="24"/>
        </w:rPr>
      </w:pPr>
    </w:p>
    <w:p w14:paraId="796F6D64" w14:textId="6FBD6C56" w:rsidR="002E4377" w:rsidRDefault="00F14E26" w:rsidP="00F14E26">
      <w:pPr>
        <w:jc w:val="both"/>
        <w:rPr>
          <w:rFonts w:ascii="Arial" w:hAnsi="Arial" w:cstheme="minorHAnsi"/>
          <w:b/>
          <w:iCs/>
          <w:sz w:val="24"/>
          <w:szCs w:val="24"/>
        </w:rPr>
      </w:pPr>
      <w:r w:rsidRPr="00F14E26">
        <w:rPr>
          <w:rFonts w:ascii="Arial" w:hAnsi="Arial" w:cstheme="minorHAnsi"/>
          <w:b/>
          <w:iCs/>
          <w:sz w:val="24"/>
          <w:szCs w:val="24"/>
        </w:rPr>
        <w:t xml:space="preserve">Worden Hall </w:t>
      </w:r>
      <w:r>
        <w:rPr>
          <w:rFonts w:ascii="Arial" w:hAnsi="Arial" w:cstheme="minorHAnsi"/>
          <w:b/>
          <w:iCs/>
          <w:sz w:val="24"/>
          <w:szCs w:val="24"/>
        </w:rPr>
        <w:t>–</w:t>
      </w:r>
      <w:r w:rsidRPr="00F14E26">
        <w:rPr>
          <w:rFonts w:ascii="Arial" w:hAnsi="Arial" w:cstheme="minorHAnsi"/>
          <w:b/>
          <w:iCs/>
          <w:sz w:val="24"/>
          <w:szCs w:val="24"/>
        </w:rPr>
        <w:t xml:space="preserve"> Leases</w:t>
      </w:r>
    </w:p>
    <w:p w14:paraId="31546920" w14:textId="50F20944" w:rsidR="00F14E26" w:rsidRDefault="00F14E26" w:rsidP="00F14E26">
      <w:pPr>
        <w:jc w:val="both"/>
        <w:rPr>
          <w:rFonts w:ascii="Arial" w:hAnsi="Arial" w:cstheme="minorHAnsi"/>
          <w:b/>
          <w:iCs/>
          <w:sz w:val="24"/>
          <w:szCs w:val="24"/>
        </w:rPr>
      </w:pPr>
    </w:p>
    <w:p w14:paraId="6717547F" w14:textId="0932E43E" w:rsidR="000A1B09" w:rsidRDefault="000A1B09" w:rsidP="000A1B09">
      <w:pPr>
        <w:pStyle w:val="Header"/>
        <w:numPr>
          <w:ilvl w:val="0"/>
          <w:numId w:val="1"/>
        </w:numPr>
        <w:jc w:val="both"/>
        <w:rPr>
          <w:rFonts w:ascii="Arial" w:hAnsi="Arial" w:cs="Arial"/>
          <w:sz w:val="24"/>
          <w:szCs w:val="24"/>
        </w:rPr>
      </w:pPr>
      <w:r>
        <w:rPr>
          <w:rFonts w:ascii="Arial" w:hAnsi="Arial" w:cs="Arial"/>
          <w:sz w:val="24"/>
          <w:szCs w:val="24"/>
        </w:rPr>
        <w:t>The Cabinet Member (Finance, Property and Assets) presented a report of the</w:t>
      </w:r>
      <w:r>
        <w:rPr>
          <w:rFonts w:ascii="Arial" w:hAnsi="Arial" w:cs="Arial"/>
          <w:b/>
          <w:bCs/>
          <w:sz w:val="24"/>
          <w:szCs w:val="24"/>
        </w:rPr>
        <w:t xml:space="preserve"> </w:t>
      </w:r>
      <w:r>
        <w:rPr>
          <w:rFonts w:ascii="Arial" w:hAnsi="Arial" w:cs="Arial"/>
          <w:sz w:val="24"/>
          <w:szCs w:val="24"/>
        </w:rPr>
        <w:t>Director of Planning and Development</w:t>
      </w:r>
      <w:r>
        <w:rPr>
          <w:rFonts w:ascii="Arial" w:hAnsi="Arial" w:cs="Arial"/>
          <w:b/>
          <w:bCs/>
          <w:sz w:val="24"/>
          <w:szCs w:val="24"/>
        </w:rPr>
        <w:t xml:space="preserve"> </w:t>
      </w:r>
      <w:r>
        <w:rPr>
          <w:rFonts w:ascii="Arial" w:hAnsi="Arial" w:cs="Arial"/>
          <w:bCs/>
          <w:iCs/>
          <w:color w:val="000000" w:themeColor="text1"/>
          <w:sz w:val="24"/>
          <w:szCs w:val="24"/>
        </w:rPr>
        <w:t>to consider the expressions of interest received for the retail and office spaces at Worden Hall and to determine the preferred bidders.</w:t>
      </w:r>
    </w:p>
    <w:p w14:paraId="051171F8" w14:textId="77777777" w:rsidR="000A1B09" w:rsidRDefault="000A1B09" w:rsidP="000A1B09">
      <w:pPr>
        <w:pStyle w:val="Heading2"/>
        <w:spacing w:before="0"/>
        <w:jc w:val="both"/>
        <w:rPr>
          <w:sz w:val="22"/>
        </w:rPr>
      </w:pPr>
    </w:p>
    <w:p w14:paraId="094DE4CE" w14:textId="63806893" w:rsidR="000A1B09" w:rsidRDefault="000A1B09" w:rsidP="000A1B09">
      <w:pPr>
        <w:pStyle w:val="Heading2"/>
        <w:numPr>
          <w:ilvl w:val="0"/>
          <w:numId w:val="1"/>
        </w:numPr>
        <w:spacing w:before="0"/>
        <w:jc w:val="both"/>
        <w:rPr>
          <w:szCs w:val="24"/>
        </w:rPr>
      </w:pPr>
      <w:r w:rsidRPr="000A1B09">
        <w:rPr>
          <w:b w:val="0"/>
          <w:bCs w:val="0"/>
          <w:szCs w:val="24"/>
        </w:rPr>
        <w:t>Cabinet agreed to:</w:t>
      </w:r>
    </w:p>
    <w:p w14:paraId="0C4F5EAC" w14:textId="77777777" w:rsidR="000A1B09" w:rsidRDefault="000A1B09" w:rsidP="000A1B09">
      <w:pPr>
        <w:rPr>
          <w:szCs w:val="24"/>
        </w:rPr>
      </w:pPr>
    </w:p>
    <w:p w14:paraId="5BEFA9ED" w14:textId="74041F80" w:rsidR="000A1B09" w:rsidRDefault="000A1B09" w:rsidP="000A1B09">
      <w:pPr>
        <w:pStyle w:val="Header"/>
        <w:ind w:left="360"/>
        <w:jc w:val="both"/>
        <w:rPr>
          <w:rFonts w:ascii="Arial" w:hAnsi="Arial" w:cs="Arial"/>
          <w:sz w:val="24"/>
          <w:szCs w:val="24"/>
        </w:rPr>
      </w:pPr>
      <w:r>
        <w:rPr>
          <w:rFonts w:ascii="Arial" w:hAnsi="Arial" w:cs="Arial"/>
          <w:bCs/>
          <w:iCs/>
          <w:color w:val="000000" w:themeColor="text1"/>
          <w:sz w:val="24"/>
          <w:szCs w:val="24"/>
        </w:rPr>
        <w:t>1.To note the expressions of interest for the single retail unit and two office units.</w:t>
      </w:r>
    </w:p>
    <w:p w14:paraId="1456C0D7" w14:textId="77777777" w:rsidR="000A1B09" w:rsidRDefault="000A1B09" w:rsidP="000A1B09">
      <w:pPr>
        <w:pStyle w:val="Header"/>
        <w:ind w:left="360"/>
        <w:jc w:val="both"/>
        <w:rPr>
          <w:rFonts w:ascii="Arial" w:hAnsi="Arial" w:cs="Arial"/>
        </w:rPr>
      </w:pPr>
    </w:p>
    <w:p w14:paraId="5F30C67B" w14:textId="7DA9B0B5" w:rsidR="000A1B09" w:rsidRDefault="000A1B09" w:rsidP="000A1B09">
      <w:pPr>
        <w:pStyle w:val="Header"/>
        <w:ind w:left="360"/>
        <w:jc w:val="both"/>
        <w:rPr>
          <w:rFonts w:ascii="Arial" w:hAnsi="Arial" w:cs="Arial"/>
          <w:sz w:val="24"/>
          <w:szCs w:val="24"/>
        </w:rPr>
      </w:pPr>
      <w:r>
        <w:rPr>
          <w:rFonts w:ascii="Arial" w:hAnsi="Arial" w:cs="Arial"/>
          <w:sz w:val="24"/>
          <w:szCs w:val="24"/>
        </w:rPr>
        <w:lastRenderedPageBreak/>
        <w:t>2.To agree the preferred choice for the retail unit as detailed in recommendation 2 of the report.</w:t>
      </w:r>
    </w:p>
    <w:p w14:paraId="6D3B365F" w14:textId="77777777" w:rsidR="000A1B09" w:rsidRDefault="000A1B09" w:rsidP="000A1B09">
      <w:pPr>
        <w:pStyle w:val="Header"/>
        <w:jc w:val="both"/>
        <w:rPr>
          <w:rFonts w:ascii="Arial" w:hAnsi="Arial" w:cs="Arial"/>
          <w:sz w:val="24"/>
          <w:szCs w:val="24"/>
        </w:rPr>
      </w:pPr>
    </w:p>
    <w:p w14:paraId="13A1C49D" w14:textId="2C1FF77B" w:rsidR="000A1B09" w:rsidRDefault="000A1B09" w:rsidP="000A1B09">
      <w:pPr>
        <w:pStyle w:val="Header"/>
        <w:ind w:left="360"/>
        <w:jc w:val="both"/>
        <w:rPr>
          <w:rFonts w:ascii="Arial" w:hAnsi="Arial" w:cs="Arial"/>
          <w:sz w:val="24"/>
          <w:szCs w:val="24"/>
        </w:rPr>
      </w:pPr>
      <w:r>
        <w:rPr>
          <w:rFonts w:ascii="Arial" w:hAnsi="Arial" w:cs="Arial"/>
          <w:sz w:val="24"/>
          <w:szCs w:val="24"/>
        </w:rPr>
        <w:t>3.To agree the preferred bidders for the two office units as detailed in recommendation 3 of the report.</w:t>
      </w:r>
    </w:p>
    <w:p w14:paraId="4000764E" w14:textId="77777777" w:rsidR="000A1B09" w:rsidRDefault="000A1B09" w:rsidP="000A1B09">
      <w:pPr>
        <w:pStyle w:val="Header"/>
        <w:ind w:left="360"/>
        <w:jc w:val="both"/>
        <w:rPr>
          <w:rFonts w:ascii="Arial" w:hAnsi="Arial" w:cs="Arial"/>
        </w:rPr>
      </w:pPr>
    </w:p>
    <w:p w14:paraId="6CC75BCF" w14:textId="222077AA" w:rsidR="000A1B09" w:rsidRPr="000A1B09" w:rsidRDefault="000A1B09" w:rsidP="000A1B09">
      <w:pPr>
        <w:spacing w:after="0" w:line="240" w:lineRule="auto"/>
        <w:ind w:left="360"/>
        <w:jc w:val="both"/>
        <w:rPr>
          <w:rFonts w:ascii="Arial" w:hAnsi="Arial" w:cs="Arial"/>
          <w:bCs/>
          <w:iCs/>
          <w:color w:val="000000" w:themeColor="text1"/>
          <w:sz w:val="24"/>
          <w:szCs w:val="24"/>
        </w:rPr>
      </w:pPr>
      <w:r>
        <w:rPr>
          <w:rFonts w:ascii="Arial" w:hAnsi="Arial" w:cs="Arial"/>
          <w:bCs/>
          <w:iCs/>
          <w:color w:val="000000" w:themeColor="text1"/>
          <w:sz w:val="24"/>
          <w:szCs w:val="24"/>
        </w:rPr>
        <w:t>4.</w:t>
      </w:r>
      <w:r w:rsidRPr="000A1B09">
        <w:rPr>
          <w:rFonts w:ascii="Arial" w:hAnsi="Arial" w:cs="Arial"/>
          <w:bCs/>
          <w:iCs/>
          <w:color w:val="000000" w:themeColor="text1"/>
          <w:sz w:val="24"/>
          <w:szCs w:val="24"/>
        </w:rPr>
        <w:t xml:space="preserve">To delegate the final decisions over the terms of the three units (and any subsequent letting space that may become available) to the Director of Commercial Services, in conjunction with the Leader of the Council. </w:t>
      </w:r>
    </w:p>
    <w:p w14:paraId="371A0D5C" w14:textId="77777777" w:rsidR="000A1B09" w:rsidRDefault="000A1B09" w:rsidP="000A1B09">
      <w:pPr>
        <w:jc w:val="both"/>
        <w:rPr>
          <w:rFonts w:ascii="Arial" w:hAnsi="Arial" w:cstheme="minorHAnsi"/>
          <w:bCs/>
        </w:rPr>
      </w:pPr>
    </w:p>
    <w:p w14:paraId="096C8C7B" w14:textId="74594209" w:rsidR="00C9064E" w:rsidRPr="006C500A" w:rsidRDefault="006C500A" w:rsidP="006C500A">
      <w:pPr>
        <w:rPr>
          <w:rFonts w:ascii="Arial" w:eastAsia="Arial" w:hAnsi="Arial" w:cs="Arial"/>
          <w:b/>
          <w:bCs/>
          <w:sz w:val="24"/>
          <w:szCs w:val="24"/>
        </w:rPr>
      </w:pPr>
      <w:r w:rsidRPr="006C500A">
        <w:rPr>
          <w:rFonts w:ascii="Arial" w:eastAsia="Arial" w:hAnsi="Arial" w:cs="Arial"/>
          <w:b/>
          <w:bCs/>
          <w:sz w:val="24"/>
          <w:szCs w:val="24"/>
        </w:rPr>
        <w:t>Approval for the Contract Procedure and Award for the Procurement of an Asset Management System</w:t>
      </w:r>
    </w:p>
    <w:p w14:paraId="7F3BCF6B" w14:textId="3B6415AD" w:rsidR="006E59BD" w:rsidRPr="006E59BD" w:rsidRDefault="00C11109" w:rsidP="006E59BD">
      <w:pPr>
        <w:pStyle w:val="ListParagraph"/>
        <w:numPr>
          <w:ilvl w:val="0"/>
          <w:numId w:val="1"/>
        </w:numPr>
        <w:pBdr>
          <w:top w:val="single" w:sz="2" w:space="1" w:color="FFFFFF"/>
          <w:left w:val="single" w:sz="2" w:space="0" w:color="FFFFFF"/>
          <w:bottom w:val="single" w:sz="2" w:space="2" w:color="FFFFFF"/>
          <w:right w:val="single" w:sz="2" w:space="4" w:color="FFFFFF"/>
        </w:pBdr>
        <w:spacing w:after="120"/>
        <w:jc w:val="both"/>
        <w:rPr>
          <w:rFonts w:eastAsia="Times New Roman" w:cs="Times New Roman"/>
          <w:lang w:eastAsia="en-GB"/>
        </w:rPr>
      </w:pPr>
      <w:r w:rsidRPr="00C11109">
        <w:rPr>
          <w:rFonts w:ascii="Arial" w:eastAsia="Times New Roman" w:hAnsi="Arial" w:cs="Times New Roman"/>
          <w:sz w:val="24"/>
          <w:szCs w:val="24"/>
          <w:lang w:eastAsia="en-GB"/>
        </w:rPr>
        <w:t>The Cabinet Member (Communities, Social Justice and Wealth Building) presented a report of the Director of Customer and Digital seeking approval for the contract award of an asset management system and associated workflows for the management of the Councils assets</w:t>
      </w:r>
      <w:r w:rsidR="006E59BD">
        <w:rPr>
          <w:rFonts w:ascii="Arial" w:eastAsia="Times New Roman" w:hAnsi="Arial" w:cs="Times New Roman"/>
          <w:sz w:val="24"/>
          <w:szCs w:val="24"/>
          <w:lang w:eastAsia="en-GB"/>
        </w:rPr>
        <w:t>.</w:t>
      </w:r>
    </w:p>
    <w:p w14:paraId="09A05841" w14:textId="77777777" w:rsidR="006E59BD" w:rsidRPr="006E59BD" w:rsidRDefault="006E59BD" w:rsidP="006E59BD">
      <w:pPr>
        <w:pStyle w:val="ListParagraph"/>
        <w:pBdr>
          <w:top w:val="single" w:sz="2" w:space="1" w:color="FFFFFF"/>
          <w:left w:val="single" w:sz="2" w:space="0" w:color="FFFFFF"/>
          <w:bottom w:val="single" w:sz="2" w:space="2" w:color="FFFFFF"/>
          <w:right w:val="single" w:sz="2" w:space="4" w:color="FFFFFF"/>
        </w:pBdr>
        <w:spacing w:after="120"/>
        <w:ind w:left="502"/>
        <w:jc w:val="both"/>
        <w:rPr>
          <w:rFonts w:eastAsia="Times New Roman" w:cs="Times New Roman"/>
          <w:lang w:eastAsia="en-GB"/>
        </w:rPr>
      </w:pPr>
    </w:p>
    <w:tbl>
      <w:tblPr>
        <w:tblW w:w="0" w:type="auto"/>
        <w:tblLook w:val="04A0" w:firstRow="1" w:lastRow="0" w:firstColumn="1" w:lastColumn="0" w:noHBand="0" w:noVBand="1"/>
      </w:tblPr>
      <w:tblGrid>
        <w:gridCol w:w="9016"/>
      </w:tblGrid>
      <w:tr w:rsidR="006E59BD" w:rsidRPr="00C11109" w14:paraId="52437473" w14:textId="77777777" w:rsidTr="008312A6">
        <w:tc>
          <w:tcPr>
            <w:tcW w:w="9016" w:type="dxa"/>
            <w:hideMark/>
          </w:tcPr>
          <w:p w14:paraId="470CFE71" w14:textId="130F2C85" w:rsidR="006E59BD" w:rsidRPr="00862FFC" w:rsidRDefault="006E59BD" w:rsidP="006E59BD">
            <w:pPr>
              <w:pStyle w:val="ListParagraph"/>
              <w:numPr>
                <w:ilvl w:val="0"/>
                <w:numId w:val="1"/>
              </w:numPr>
              <w:spacing w:after="0" w:line="240" w:lineRule="auto"/>
              <w:jc w:val="both"/>
              <w:rPr>
                <w:rFonts w:cstheme="minorHAnsi"/>
                <w:bCs/>
                <w:sz w:val="24"/>
                <w:szCs w:val="24"/>
              </w:rPr>
            </w:pPr>
            <w:r w:rsidRPr="006E59BD">
              <w:rPr>
                <w:rFonts w:ascii="Arial" w:hAnsi="Arial"/>
                <w:bCs/>
                <w:sz w:val="24"/>
                <w:szCs w:val="24"/>
              </w:rPr>
              <w:t xml:space="preserve">The award of this contract demonstrates best value for money for both South Ribble and Chorley Councils. </w:t>
            </w:r>
          </w:p>
          <w:p w14:paraId="482BAFDA" w14:textId="77777777" w:rsidR="00862FFC" w:rsidRPr="006E59BD" w:rsidRDefault="00862FFC" w:rsidP="00862FFC">
            <w:pPr>
              <w:pStyle w:val="ListParagraph"/>
              <w:spacing w:after="0" w:line="240" w:lineRule="auto"/>
              <w:ind w:left="502"/>
              <w:jc w:val="both"/>
              <w:rPr>
                <w:rFonts w:cstheme="minorHAnsi"/>
                <w:bCs/>
                <w:sz w:val="24"/>
                <w:szCs w:val="24"/>
              </w:rPr>
            </w:pPr>
          </w:p>
          <w:p w14:paraId="36897467" w14:textId="2DDB09A0" w:rsidR="006E59BD" w:rsidRPr="006E59BD" w:rsidRDefault="006E59BD" w:rsidP="006E59BD">
            <w:pPr>
              <w:pStyle w:val="ListParagraph"/>
              <w:spacing w:after="0" w:line="240" w:lineRule="auto"/>
              <w:ind w:left="502"/>
              <w:jc w:val="both"/>
              <w:rPr>
                <w:rFonts w:cstheme="minorHAnsi"/>
                <w:bCs/>
                <w:sz w:val="24"/>
                <w:szCs w:val="24"/>
              </w:rPr>
            </w:pPr>
          </w:p>
        </w:tc>
      </w:tr>
      <w:tr w:rsidR="00C11109" w:rsidRPr="00C11109" w14:paraId="0A4835E1" w14:textId="77777777" w:rsidTr="00C11109">
        <w:tblPrEx>
          <w:tblBorders>
            <w:top w:val="single" w:sz="4" w:space="0" w:color="auto"/>
            <w:left w:val="single" w:sz="4" w:space="0" w:color="auto"/>
            <w:bottom w:val="single" w:sz="4" w:space="0" w:color="auto"/>
            <w:right w:val="single" w:sz="4" w:space="0" w:color="auto"/>
          </w:tblBorders>
        </w:tblPrEx>
        <w:tc>
          <w:tcPr>
            <w:tcW w:w="9016" w:type="dxa"/>
            <w:tcBorders>
              <w:top w:val="nil"/>
              <w:left w:val="nil"/>
              <w:bottom w:val="nil"/>
              <w:right w:val="nil"/>
            </w:tcBorders>
            <w:hideMark/>
          </w:tcPr>
          <w:p w14:paraId="0F1741E9" w14:textId="32071532" w:rsidR="00C11109" w:rsidRPr="00C11109" w:rsidRDefault="00C11109" w:rsidP="00C11109">
            <w:pPr>
              <w:spacing w:after="0" w:line="240" w:lineRule="auto"/>
              <w:rPr>
                <w:rFonts w:ascii="Arial" w:hAnsi="Arial"/>
                <w:b/>
                <w:bCs/>
                <w:sz w:val="24"/>
                <w:szCs w:val="24"/>
              </w:rPr>
            </w:pPr>
          </w:p>
        </w:tc>
      </w:tr>
      <w:tr w:rsidR="00C11109" w:rsidRPr="00C11109" w14:paraId="3F75AD03" w14:textId="77777777" w:rsidTr="00C11109">
        <w:tblPrEx>
          <w:tblBorders>
            <w:top w:val="single" w:sz="4" w:space="0" w:color="auto"/>
            <w:left w:val="single" w:sz="4" w:space="0" w:color="auto"/>
            <w:bottom w:val="single" w:sz="4" w:space="0" w:color="auto"/>
            <w:right w:val="single" w:sz="4" w:space="0" w:color="auto"/>
          </w:tblBorders>
        </w:tblPrEx>
        <w:tc>
          <w:tcPr>
            <w:tcW w:w="9016" w:type="dxa"/>
            <w:tcBorders>
              <w:top w:val="nil"/>
              <w:left w:val="nil"/>
              <w:bottom w:val="nil"/>
              <w:right w:val="nil"/>
            </w:tcBorders>
          </w:tcPr>
          <w:p w14:paraId="4C10E6DE" w14:textId="2A9AD1AA" w:rsidR="00C11109" w:rsidRPr="00C11109" w:rsidRDefault="00C11109" w:rsidP="00C11109">
            <w:pPr>
              <w:pStyle w:val="ListParagraph"/>
              <w:numPr>
                <w:ilvl w:val="0"/>
                <w:numId w:val="1"/>
              </w:numPr>
              <w:spacing w:after="0" w:line="240" w:lineRule="auto"/>
              <w:rPr>
                <w:rFonts w:ascii="Arial" w:hAnsi="Arial" w:cs="Arial"/>
                <w:b/>
                <w:bCs/>
                <w:sz w:val="24"/>
                <w:szCs w:val="24"/>
              </w:rPr>
            </w:pPr>
            <w:r w:rsidRPr="00C11109">
              <w:rPr>
                <w:rFonts w:ascii="Arial" w:hAnsi="Arial" w:cs="Arial"/>
                <w:sz w:val="24"/>
                <w:szCs w:val="24"/>
              </w:rPr>
              <w:t>Cabinet approves the direct award as per recommendation 1 in the report.</w:t>
            </w:r>
          </w:p>
        </w:tc>
      </w:tr>
    </w:tbl>
    <w:p w14:paraId="207B282E" w14:textId="77777777" w:rsidR="00C11109" w:rsidRPr="00C11109" w:rsidRDefault="00C11109" w:rsidP="00C11109">
      <w:pPr>
        <w:spacing w:after="0" w:line="240" w:lineRule="auto"/>
        <w:jc w:val="both"/>
        <w:rPr>
          <w:rFonts w:eastAsia="Times New Roman" w:cstheme="minorHAnsi"/>
          <w:bCs/>
          <w:sz w:val="24"/>
          <w:szCs w:val="24"/>
        </w:rPr>
      </w:pPr>
    </w:p>
    <w:tbl>
      <w:tblPr>
        <w:tblW w:w="0" w:type="auto"/>
        <w:tblLook w:val="04A0" w:firstRow="1" w:lastRow="0" w:firstColumn="1" w:lastColumn="0" w:noHBand="0" w:noVBand="1"/>
      </w:tblPr>
      <w:tblGrid>
        <w:gridCol w:w="9016"/>
      </w:tblGrid>
      <w:tr w:rsidR="00C11109" w:rsidRPr="00C11109" w14:paraId="20587377" w14:textId="77777777" w:rsidTr="00C11109">
        <w:tc>
          <w:tcPr>
            <w:tcW w:w="9016" w:type="dxa"/>
            <w:hideMark/>
          </w:tcPr>
          <w:p w14:paraId="2FC12941" w14:textId="72198758" w:rsidR="00C11109" w:rsidRPr="00C11109" w:rsidRDefault="00C11109" w:rsidP="00C11109">
            <w:pPr>
              <w:keepNext/>
              <w:spacing w:after="0" w:line="480" w:lineRule="auto"/>
              <w:outlineLvl w:val="1"/>
              <w:rPr>
                <w:rFonts w:ascii="Arial" w:eastAsiaTheme="minorEastAsia" w:hAnsi="Arial" w:cs="Arial"/>
                <w:b/>
                <w:bCs/>
                <w:iCs/>
                <w:sz w:val="24"/>
                <w:szCs w:val="24"/>
              </w:rPr>
            </w:pPr>
          </w:p>
        </w:tc>
      </w:tr>
      <w:tr w:rsidR="00C11109" w:rsidRPr="00C11109" w14:paraId="53DE4962" w14:textId="77777777" w:rsidTr="00C11109">
        <w:tc>
          <w:tcPr>
            <w:tcW w:w="9016" w:type="dxa"/>
            <w:hideMark/>
          </w:tcPr>
          <w:p w14:paraId="2FC28112" w14:textId="7525ECC0" w:rsidR="00C11109" w:rsidRPr="00C11109" w:rsidRDefault="00C11109" w:rsidP="00C11109">
            <w:pPr>
              <w:keepNext/>
              <w:spacing w:after="0" w:line="480" w:lineRule="auto"/>
              <w:outlineLvl w:val="1"/>
              <w:rPr>
                <w:rFonts w:ascii="Arial" w:eastAsiaTheme="minorEastAsia" w:hAnsi="Arial" w:cs="Arial"/>
                <w:b/>
                <w:bCs/>
                <w:i/>
                <w:iCs/>
                <w:sz w:val="24"/>
                <w:szCs w:val="24"/>
              </w:rPr>
            </w:pPr>
          </w:p>
        </w:tc>
      </w:tr>
    </w:tbl>
    <w:p w14:paraId="2592F64C" w14:textId="13A89FF7" w:rsidR="006F02D3" w:rsidRPr="00A54E2A" w:rsidRDefault="00A54E2A" w:rsidP="006E59BD">
      <w:pPr>
        <w:rPr>
          <w:rFonts w:ascii="Arial" w:eastAsia="Arial" w:hAnsi="Arial" w:cs="Arial"/>
          <w:b/>
          <w:bCs/>
          <w:sz w:val="24"/>
          <w:szCs w:val="24"/>
        </w:rPr>
      </w:pPr>
      <w:r w:rsidRPr="00A54E2A">
        <w:rPr>
          <w:rFonts w:ascii="Arial" w:eastAsia="Arial" w:hAnsi="Arial" w:cs="Arial"/>
          <w:b/>
          <w:bCs/>
          <w:sz w:val="24"/>
          <w:szCs w:val="24"/>
        </w:rPr>
        <w:t>Procurement Strategy - Jubilee Gardens Construction Phase Contract Administration</w:t>
      </w:r>
    </w:p>
    <w:p w14:paraId="4B03DDEF" w14:textId="104DB543" w:rsidR="00A54E2A" w:rsidRDefault="00A54E2A" w:rsidP="00A54E2A">
      <w:pPr>
        <w:pStyle w:val="ListParagraph"/>
        <w:numPr>
          <w:ilvl w:val="0"/>
          <w:numId w:val="1"/>
        </w:numPr>
        <w:jc w:val="both"/>
        <w:rPr>
          <w:rFonts w:ascii="Arial" w:hAnsi="Arial" w:cs="Arial"/>
          <w:bCs/>
          <w:iCs/>
          <w:sz w:val="24"/>
          <w:szCs w:val="24"/>
        </w:rPr>
      </w:pPr>
      <w:r w:rsidRPr="00A54E2A">
        <w:rPr>
          <w:rFonts w:ascii="Arial" w:hAnsi="Arial" w:cs="Arial"/>
          <w:bCs/>
          <w:iCs/>
          <w:sz w:val="24"/>
          <w:szCs w:val="24"/>
        </w:rPr>
        <w:t>The Leader of the Council and Cabinet Member (Strategy and Reform) presented a report to consider the procurement strategy to appoint a NEC (4) Project Manager and cost consultant for RIBA Stages 5-7 of the Jubilee Gardens Extra Care Development and to note the progress on the scheme to date</w:t>
      </w:r>
      <w:r w:rsidR="00DC4549">
        <w:rPr>
          <w:rFonts w:ascii="Arial" w:hAnsi="Arial" w:cs="Arial"/>
          <w:bCs/>
          <w:iCs/>
          <w:sz w:val="24"/>
          <w:szCs w:val="24"/>
        </w:rPr>
        <w:t>.</w:t>
      </w:r>
    </w:p>
    <w:p w14:paraId="102F8736" w14:textId="77777777" w:rsidR="00DC4549" w:rsidRDefault="00DC4549" w:rsidP="00DC4549">
      <w:pPr>
        <w:pStyle w:val="ListParagraph"/>
        <w:ind w:left="502"/>
        <w:jc w:val="both"/>
        <w:rPr>
          <w:rFonts w:ascii="Arial" w:hAnsi="Arial" w:cs="Arial"/>
          <w:bCs/>
          <w:iCs/>
          <w:sz w:val="24"/>
          <w:szCs w:val="24"/>
        </w:rPr>
      </w:pPr>
    </w:p>
    <w:p w14:paraId="6E65FB14" w14:textId="3127249E" w:rsidR="00A54E2A" w:rsidRPr="00DC4549" w:rsidRDefault="00DC4549" w:rsidP="003D477A">
      <w:pPr>
        <w:pStyle w:val="ListParagraph"/>
        <w:numPr>
          <w:ilvl w:val="0"/>
          <w:numId w:val="1"/>
        </w:numPr>
        <w:jc w:val="both"/>
        <w:rPr>
          <w:rFonts w:cs="Arial"/>
        </w:rPr>
      </w:pPr>
      <w:r w:rsidRPr="00DC4549">
        <w:rPr>
          <w:rFonts w:ascii="Arial" w:hAnsi="Arial" w:cs="Arial"/>
          <w:bCs/>
          <w:iCs/>
          <w:sz w:val="24"/>
          <w:szCs w:val="24"/>
        </w:rPr>
        <w:t>Cabinet agreed:</w:t>
      </w:r>
    </w:p>
    <w:p w14:paraId="45B492B2" w14:textId="77777777" w:rsidR="00DC4549" w:rsidRPr="00DC4549" w:rsidRDefault="00DC4549" w:rsidP="00DC4549">
      <w:pPr>
        <w:pStyle w:val="ListParagraph"/>
        <w:ind w:left="502"/>
        <w:jc w:val="both"/>
        <w:rPr>
          <w:rFonts w:cs="Arial"/>
        </w:rPr>
      </w:pPr>
    </w:p>
    <w:p w14:paraId="595E25A0" w14:textId="06FA28CE" w:rsidR="00A54E2A" w:rsidRPr="00DC4549" w:rsidRDefault="00A54E2A" w:rsidP="00DC4549">
      <w:pPr>
        <w:pStyle w:val="ListParagraph"/>
        <w:numPr>
          <w:ilvl w:val="0"/>
          <w:numId w:val="21"/>
        </w:numPr>
        <w:spacing w:after="0" w:line="240" w:lineRule="auto"/>
        <w:jc w:val="both"/>
        <w:rPr>
          <w:rFonts w:ascii="Arial" w:hAnsi="Arial" w:cs="Arial"/>
          <w:bCs/>
          <w:sz w:val="24"/>
          <w:szCs w:val="24"/>
        </w:rPr>
      </w:pPr>
      <w:r w:rsidRPr="00DC4549">
        <w:rPr>
          <w:rFonts w:ascii="Arial" w:hAnsi="Arial" w:cs="Arial"/>
          <w:bCs/>
          <w:iCs/>
          <w:sz w:val="24"/>
          <w:szCs w:val="24"/>
        </w:rPr>
        <w:t>To approve the procurement strategy to appoint a NEC (4) Project Manager and cost consultant via Open Tender through the Chest.</w:t>
      </w:r>
    </w:p>
    <w:p w14:paraId="0BD6529B" w14:textId="77777777" w:rsidR="00A54E2A" w:rsidRPr="00DC4549" w:rsidRDefault="00A54E2A" w:rsidP="00A54E2A">
      <w:pPr>
        <w:ind w:left="360"/>
        <w:jc w:val="both"/>
        <w:rPr>
          <w:rFonts w:ascii="Arial" w:hAnsi="Arial" w:cs="Arial"/>
          <w:bCs/>
          <w:sz w:val="24"/>
          <w:szCs w:val="24"/>
        </w:rPr>
      </w:pPr>
    </w:p>
    <w:p w14:paraId="382BB1DE" w14:textId="356C3B28" w:rsidR="00A54E2A" w:rsidRPr="00DC4549" w:rsidRDefault="00A54E2A" w:rsidP="00DC4549">
      <w:pPr>
        <w:pStyle w:val="ListParagraph"/>
        <w:numPr>
          <w:ilvl w:val="0"/>
          <w:numId w:val="21"/>
        </w:numPr>
        <w:spacing w:after="0" w:line="240" w:lineRule="auto"/>
        <w:jc w:val="both"/>
        <w:rPr>
          <w:rFonts w:ascii="Arial" w:hAnsi="Arial" w:cs="Arial"/>
          <w:bCs/>
          <w:sz w:val="24"/>
          <w:szCs w:val="24"/>
        </w:rPr>
      </w:pPr>
      <w:r w:rsidRPr="00DC4549">
        <w:rPr>
          <w:rFonts w:ascii="Arial" w:hAnsi="Arial" w:cs="Arial"/>
          <w:bCs/>
          <w:sz w:val="24"/>
          <w:szCs w:val="24"/>
        </w:rPr>
        <w:t xml:space="preserve">To approve the tender evaluation criterion of 60% cost and 40% quality. </w:t>
      </w:r>
    </w:p>
    <w:p w14:paraId="7F5355E8" w14:textId="77777777" w:rsidR="00A54E2A" w:rsidRPr="00DC4549" w:rsidRDefault="00A54E2A" w:rsidP="00A54E2A">
      <w:pPr>
        <w:ind w:left="360"/>
        <w:jc w:val="both"/>
        <w:rPr>
          <w:rFonts w:ascii="Arial" w:hAnsi="Arial" w:cs="Arial"/>
          <w:bCs/>
          <w:sz w:val="24"/>
          <w:szCs w:val="24"/>
        </w:rPr>
      </w:pPr>
    </w:p>
    <w:p w14:paraId="3B139154" w14:textId="6F086A44" w:rsidR="00A54E2A" w:rsidRPr="00DC4549" w:rsidRDefault="00A54E2A" w:rsidP="00DC4549">
      <w:pPr>
        <w:pStyle w:val="ListParagraph"/>
        <w:numPr>
          <w:ilvl w:val="0"/>
          <w:numId w:val="21"/>
        </w:numPr>
        <w:spacing w:after="0" w:line="240" w:lineRule="auto"/>
        <w:jc w:val="both"/>
        <w:rPr>
          <w:rFonts w:ascii="Arial" w:hAnsi="Arial" w:cs="Arial"/>
          <w:bCs/>
          <w:sz w:val="24"/>
          <w:szCs w:val="24"/>
        </w:rPr>
      </w:pPr>
      <w:r w:rsidRPr="00DC4549">
        <w:rPr>
          <w:rFonts w:ascii="Arial" w:hAnsi="Arial" w:cs="Arial"/>
          <w:bCs/>
          <w:sz w:val="24"/>
          <w:szCs w:val="24"/>
        </w:rPr>
        <w:t>To approve the delegation of the contract award to Leader of the Council and Cabinet Member (Strategy and Reform).</w:t>
      </w:r>
    </w:p>
    <w:p w14:paraId="78BB1AA7" w14:textId="77777777" w:rsidR="00A54E2A" w:rsidRPr="00DC4549" w:rsidRDefault="00A54E2A" w:rsidP="00A54E2A">
      <w:pPr>
        <w:ind w:left="360"/>
        <w:jc w:val="both"/>
        <w:rPr>
          <w:rFonts w:ascii="Arial" w:hAnsi="Arial" w:cs="Arial"/>
          <w:bCs/>
          <w:sz w:val="24"/>
          <w:szCs w:val="24"/>
        </w:rPr>
      </w:pPr>
    </w:p>
    <w:p w14:paraId="3CFA8263" w14:textId="153EE245" w:rsidR="00A54E2A" w:rsidRPr="00DC4549" w:rsidRDefault="00A54E2A" w:rsidP="00DC4549">
      <w:pPr>
        <w:pStyle w:val="ListParagraph"/>
        <w:numPr>
          <w:ilvl w:val="0"/>
          <w:numId w:val="21"/>
        </w:numPr>
        <w:spacing w:after="0" w:line="240" w:lineRule="auto"/>
        <w:jc w:val="both"/>
        <w:rPr>
          <w:rFonts w:ascii="Arial" w:hAnsi="Arial" w:cs="Arial"/>
          <w:bCs/>
          <w:sz w:val="24"/>
          <w:szCs w:val="24"/>
        </w:rPr>
      </w:pPr>
      <w:r w:rsidRPr="00DC4549">
        <w:rPr>
          <w:rFonts w:ascii="Arial" w:hAnsi="Arial" w:cs="Arial"/>
          <w:bCs/>
          <w:sz w:val="24"/>
          <w:szCs w:val="24"/>
        </w:rPr>
        <w:t>To acknowledge that no formal appointment will be made until the final budget approval of the scheme is achieved, scheduled for Council meeting in November 2022.</w:t>
      </w:r>
    </w:p>
    <w:p w14:paraId="7168E468" w14:textId="77777777" w:rsidR="00A54E2A" w:rsidRPr="00DC4549" w:rsidRDefault="00A54E2A" w:rsidP="00A54E2A">
      <w:pPr>
        <w:jc w:val="both"/>
        <w:rPr>
          <w:rFonts w:ascii="Arial" w:hAnsi="Arial" w:cs="Arial"/>
          <w:bCs/>
          <w:sz w:val="24"/>
          <w:szCs w:val="24"/>
        </w:rPr>
      </w:pPr>
    </w:p>
    <w:p w14:paraId="25E03972" w14:textId="77777777" w:rsidR="00FD3C79" w:rsidRDefault="00FD3C79">
      <w:pPr>
        <w:rPr>
          <w:rFonts w:ascii="Arial" w:hAnsi="Arial" w:cs="Arial"/>
          <w:b/>
          <w:bCs/>
          <w:sz w:val="24"/>
          <w:szCs w:val="24"/>
        </w:rPr>
      </w:pPr>
      <w:r>
        <w:rPr>
          <w:rFonts w:ascii="Arial" w:hAnsi="Arial" w:cs="Arial"/>
          <w:b/>
          <w:bCs/>
          <w:sz w:val="24"/>
          <w:szCs w:val="24"/>
        </w:rPr>
        <w:br w:type="page"/>
      </w:r>
    </w:p>
    <w:p w14:paraId="49097FEF" w14:textId="00C52319" w:rsidR="00A54E2A" w:rsidRPr="00737866" w:rsidRDefault="00737866" w:rsidP="00A54E2A">
      <w:pPr>
        <w:rPr>
          <w:rFonts w:ascii="Arial" w:hAnsi="Arial" w:cs="Arial"/>
          <w:b/>
          <w:bCs/>
          <w:sz w:val="24"/>
          <w:szCs w:val="24"/>
        </w:rPr>
      </w:pPr>
      <w:r w:rsidRPr="00737866">
        <w:rPr>
          <w:rFonts w:ascii="Arial" w:hAnsi="Arial" w:cs="Arial"/>
          <w:b/>
          <w:bCs/>
          <w:sz w:val="24"/>
          <w:szCs w:val="24"/>
        </w:rPr>
        <w:lastRenderedPageBreak/>
        <w:t>Leyland Town Deal - Site Investigation Procurement</w:t>
      </w:r>
    </w:p>
    <w:p w14:paraId="68198262" w14:textId="77777777" w:rsidR="00A54E2A" w:rsidRPr="00DC4549" w:rsidRDefault="00A54E2A" w:rsidP="00A54E2A">
      <w:pPr>
        <w:rPr>
          <w:rFonts w:ascii="Arial" w:hAnsi="Arial" w:cs="Arial"/>
          <w:b/>
          <w:bCs/>
          <w:sz w:val="24"/>
          <w:szCs w:val="24"/>
        </w:rPr>
      </w:pPr>
    </w:p>
    <w:p w14:paraId="0D808582" w14:textId="6C945EBC" w:rsidR="00737866" w:rsidRDefault="00737866" w:rsidP="00737866">
      <w:pPr>
        <w:pStyle w:val="ListParagraph"/>
        <w:numPr>
          <w:ilvl w:val="0"/>
          <w:numId w:val="1"/>
        </w:numPr>
        <w:tabs>
          <w:tab w:val="left" w:pos="567"/>
        </w:tabs>
        <w:jc w:val="both"/>
        <w:rPr>
          <w:rFonts w:ascii="Arial" w:hAnsi="Arial" w:cs="Arial"/>
          <w:bCs/>
          <w:iCs/>
          <w:sz w:val="24"/>
          <w:szCs w:val="24"/>
        </w:rPr>
      </w:pPr>
      <w:r w:rsidRPr="00737866">
        <w:rPr>
          <w:rFonts w:ascii="Arial" w:hAnsi="Arial" w:cs="Arial"/>
          <w:bCs/>
          <w:iCs/>
          <w:sz w:val="24"/>
          <w:szCs w:val="24"/>
        </w:rPr>
        <w:t xml:space="preserve">The Leader of the Council and Cabinet Member (Strategy and Reform) presented a report of the Director of Commercial informing Members of the proposed Site Investigation Procurement associated with the Leyland Town Deal project. </w:t>
      </w:r>
    </w:p>
    <w:p w14:paraId="13034697" w14:textId="7FB7BEBB" w:rsidR="00CF2FB3" w:rsidRDefault="00CF2FB3" w:rsidP="00CF2FB3">
      <w:pPr>
        <w:pStyle w:val="ListParagraph"/>
        <w:tabs>
          <w:tab w:val="left" w:pos="567"/>
        </w:tabs>
        <w:ind w:left="502"/>
        <w:jc w:val="both"/>
        <w:rPr>
          <w:rFonts w:ascii="Arial" w:hAnsi="Arial" w:cs="Arial"/>
          <w:bCs/>
          <w:iCs/>
          <w:sz w:val="24"/>
          <w:szCs w:val="24"/>
        </w:rPr>
      </w:pPr>
    </w:p>
    <w:p w14:paraId="31B2D162" w14:textId="2A740775" w:rsidR="00CF2FB3" w:rsidRPr="00CF2FB3" w:rsidRDefault="00CF2FB3" w:rsidP="00B43D1D">
      <w:pPr>
        <w:pStyle w:val="ListParagraph"/>
        <w:numPr>
          <w:ilvl w:val="0"/>
          <w:numId w:val="1"/>
        </w:numPr>
        <w:jc w:val="both"/>
        <w:rPr>
          <w:rFonts w:ascii="Arial" w:hAnsi="Arial" w:cs="Arial"/>
          <w:bCs/>
          <w:iCs/>
          <w:sz w:val="24"/>
          <w:szCs w:val="24"/>
        </w:rPr>
      </w:pPr>
      <w:r w:rsidRPr="00CF2FB3">
        <w:rPr>
          <w:rFonts w:ascii="Arial" w:hAnsi="Arial" w:cs="Arial"/>
          <w:bCs/>
          <w:iCs/>
          <w:sz w:val="24"/>
          <w:szCs w:val="24"/>
        </w:rPr>
        <w:t>This decision enables the design development; in particular concluding the site investigation strategy to inform the remediation strategy associated with these sites. It ensures that the project is aligning with the pressing design and delivery programme as a result of the funding requirements.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53"/>
      </w:tblGrid>
      <w:tr w:rsidR="00737866" w:rsidRPr="00737866" w14:paraId="3E525941" w14:textId="77777777" w:rsidTr="00737866">
        <w:tc>
          <w:tcPr>
            <w:tcW w:w="8653" w:type="dxa"/>
            <w:tcBorders>
              <w:top w:val="nil"/>
              <w:left w:val="nil"/>
              <w:bottom w:val="nil"/>
              <w:right w:val="nil"/>
            </w:tcBorders>
            <w:hideMark/>
          </w:tcPr>
          <w:p w14:paraId="74CB824A" w14:textId="555CACD0" w:rsidR="00737866" w:rsidRPr="00CF2FB3" w:rsidRDefault="00CF2FB3" w:rsidP="00CF2FB3">
            <w:pPr>
              <w:pStyle w:val="Heading2"/>
              <w:numPr>
                <w:ilvl w:val="0"/>
                <w:numId w:val="1"/>
              </w:numPr>
              <w:spacing w:before="0" w:line="480" w:lineRule="auto"/>
              <w:rPr>
                <w:b w:val="0"/>
                <w:bCs w:val="0"/>
                <w:szCs w:val="24"/>
                <w:lang w:eastAsia="en-US"/>
              </w:rPr>
            </w:pPr>
            <w:r w:rsidRPr="00CF2FB3">
              <w:rPr>
                <w:b w:val="0"/>
                <w:bCs w:val="0"/>
                <w:szCs w:val="24"/>
                <w:lang w:eastAsia="en-US"/>
              </w:rPr>
              <w:t>Cabinet agreed:</w:t>
            </w:r>
          </w:p>
        </w:tc>
      </w:tr>
      <w:tr w:rsidR="00737866" w:rsidRPr="00737866" w14:paraId="28E1AE87" w14:textId="77777777" w:rsidTr="00737866">
        <w:trPr>
          <w:trHeight w:val="528"/>
        </w:trPr>
        <w:tc>
          <w:tcPr>
            <w:tcW w:w="8653" w:type="dxa"/>
            <w:tcBorders>
              <w:top w:val="nil"/>
              <w:left w:val="nil"/>
              <w:bottom w:val="nil"/>
              <w:right w:val="nil"/>
            </w:tcBorders>
          </w:tcPr>
          <w:p w14:paraId="64C4CBBE" w14:textId="6CC915D5" w:rsidR="00CF2FB3" w:rsidRDefault="00737866" w:rsidP="00CF2FB3">
            <w:pPr>
              <w:pStyle w:val="ListParagraph"/>
              <w:numPr>
                <w:ilvl w:val="0"/>
                <w:numId w:val="2"/>
              </w:numPr>
              <w:spacing w:after="0" w:line="240" w:lineRule="auto"/>
              <w:jc w:val="both"/>
              <w:rPr>
                <w:rFonts w:ascii="Arial" w:hAnsi="Arial" w:cs="Arial"/>
                <w:bCs/>
                <w:iCs/>
                <w:sz w:val="24"/>
                <w:szCs w:val="24"/>
              </w:rPr>
            </w:pPr>
            <w:r w:rsidRPr="00CF2FB3">
              <w:rPr>
                <w:rFonts w:ascii="Arial" w:hAnsi="Arial" w:cs="Arial"/>
                <w:bCs/>
                <w:iCs/>
                <w:sz w:val="24"/>
                <w:szCs w:val="24"/>
              </w:rPr>
              <w:t>To approve carrying out appropriate tender exercise via the Councils’ e-procurement portal (The Chest) or alternatively the use of existing procurement frameworks or similar for this High Value Procurement;</w:t>
            </w:r>
          </w:p>
          <w:p w14:paraId="79577619" w14:textId="77777777" w:rsidR="00CF2FB3" w:rsidRDefault="00CF2FB3" w:rsidP="00CF2FB3">
            <w:pPr>
              <w:pStyle w:val="ListParagraph"/>
              <w:spacing w:after="0" w:line="240" w:lineRule="auto"/>
              <w:ind w:left="1440"/>
              <w:jc w:val="both"/>
              <w:rPr>
                <w:rFonts w:ascii="Arial" w:hAnsi="Arial" w:cs="Arial"/>
                <w:bCs/>
                <w:iCs/>
                <w:sz w:val="24"/>
                <w:szCs w:val="24"/>
              </w:rPr>
            </w:pPr>
          </w:p>
          <w:p w14:paraId="5D656BA0" w14:textId="1A70644E" w:rsidR="00CF2FB3" w:rsidRPr="00CF2FB3" w:rsidRDefault="00CF2FB3" w:rsidP="00CF2FB3">
            <w:pPr>
              <w:pStyle w:val="ListParagraph"/>
              <w:numPr>
                <w:ilvl w:val="0"/>
                <w:numId w:val="2"/>
              </w:numPr>
              <w:spacing w:after="0" w:line="240" w:lineRule="auto"/>
              <w:jc w:val="both"/>
              <w:rPr>
                <w:rFonts w:ascii="Arial" w:hAnsi="Arial" w:cs="Arial"/>
                <w:bCs/>
                <w:iCs/>
                <w:sz w:val="24"/>
                <w:szCs w:val="24"/>
              </w:rPr>
            </w:pPr>
            <w:r w:rsidRPr="00CF2FB3">
              <w:rPr>
                <w:rFonts w:ascii="Arial" w:hAnsi="Arial" w:cs="Arial"/>
                <w:color w:val="000000"/>
                <w:sz w:val="24"/>
                <w:szCs w:val="24"/>
              </w:rPr>
              <w:t>To approve the proposed procurement strategy and evaluation criteria and that officers use their best endeavours to include consideration of social value as per the Council’s policy. Any issues to be reported to the Leader and Cabinet Member (Strategy and Reform) at the delegated decision contract award stage;</w:t>
            </w:r>
          </w:p>
          <w:p w14:paraId="1352A158" w14:textId="77777777" w:rsidR="00CF2FB3" w:rsidRDefault="00CF2FB3" w:rsidP="00CF2FB3">
            <w:pPr>
              <w:pStyle w:val="ListParagraph"/>
              <w:spacing w:after="0" w:line="240" w:lineRule="auto"/>
              <w:ind w:left="1440"/>
              <w:jc w:val="both"/>
              <w:rPr>
                <w:rFonts w:ascii="Arial" w:hAnsi="Arial" w:cs="Arial"/>
                <w:bCs/>
                <w:iCs/>
                <w:sz w:val="24"/>
                <w:szCs w:val="24"/>
              </w:rPr>
            </w:pPr>
          </w:p>
          <w:p w14:paraId="662B5ED3" w14:textId="6E526278" w:rsidR="00737866" w:rsidRPr="00CF2FB3" w:rsidRDefault="00737866" w:rsidP="00CF2FB3">
            <w:pPr>
              <w:pStyle w:val="ListParagraph"/>
              <w:numPr>
                <w:ilvl w:val="0"/>
                <w:numId w:val="2"/>
              </w:numPr>
              <w:spacing w:after="0" w:line="240" w:lineRule="auto"/>
              <w:jc w:val="both"/>
              <w:rPr>
                <w:rFonts w:ascii="Arial" w:hAnsi="Arial" w:cs="Arial"/>
                <w:bCs/>
                <w:iCs/>
                <w:sz w:val="24"/>
                <w:szCs w:val="24"/>
              </w:rPr>
            </w:pPr>
            <w:r w:rsidRPr="00CF2FB3">
              <w:rPr>
                <w:rFonts w:ascii="Arial" w:hAnsi="Arial" w:cs="Arial"/>
                <w:bCs/>
                <w:iCs/>
                <w:sz w:val="24"/>
                <w:szCs w:val="24"/>
              </w:rPr>
              <w:t xml:space="preserve">To delegate the contract award to the </w:t>
            </w:r>
            <w:r w:rsidRPr="00CF2FB3">
              <w:rPr>
                <w:rFonts w:ascii="Arial" w:hAnsi="Arial" w:cs="Arial"/>
                <w:sz w:val="24"/>
                <w:szCs w:val="24"/>
                <w:lang w:val="en-US"/>
              </w:rPr>
              <w:t>Leader of the Council and Cabinet Member (Strategy and Reform).</w:t>
            </w:r>
          </w:p>
        </w:tc>
      </w:tr>
    </w:tbl>
    <w:p w14:paraId="137C1D54" w14:textId="77777777" w:rsidR="0088186E" w:rsidRDefault="0088186E" w:rsidP="00BE4C2A">
      <w:pPr>
        <w:spacing w:after="0" w:line="252" w:lineRule="auto"/>
        <w:jc w:val="both"/>
        <w:rPr>
          <w:rFonts w:ascii="Arial" w:hAnsi="Arial" w:cs="Arial"/>
          <w:sz w:val="24"/>
          <w:szCs w:val="24"/>
        </w:rPr>
      </w:pPr>
      <w:bookmarkStart w:id="6" w:name="_GoBack"/>
      <w:bookmarkEnd w:id="5"/>
      <w:bookmarkEnd w:id="6"/>
    </w:p>
    <w:p w14:paraId="70520C80" w14:textId="490AE7E5" w:rsidR="009A5B08" w:rsidRDefault="00FD3C79" w:rsidP="00BE4C2A">
      <w:pPr>
        <w:spacing w:after="0" w:line="252" w:lineRule="auto"/>
        <w:jc w:val="both"/>
        <w:rPr>
          <w:rFonts w:ascii="Arial" w:hAnsi="Arial" w:cs="Arial"/>
          <w:sz w:val="24"/>
          <w:szCs w:val="24"/>
        </w:rPr>
      </w:pPr>
      <w:r>
        <w:rPr>
          <w:rFonts w:ascii="Arial" w:hAnsi="Arial" w:cs="Arial"/>
          <w:sz w:val="24"/>
          <w:szCs w:val="24"/>
        </w:rPr>
        <w:t>Councillor Paul Foster</w:t>
      </w:r>
    </w:p>
    <w:p w14:paraId="0387A3B0" w14:textId="0C31F194" w:rsidR="00B05406" w:rsidRPr="00B05406" w:rsidRDefault="00FD3C79" w:rsidP="00B05406">
      <w:pPr>
        <w:spacing w:after="0" w:line="252" w:lineRule="auto"/>
        <w:jc w:val="both"/>
        <w:rPr>
          <w:rFonts w:ascii="Arial" w:hAnsi="Arial" w:cs="Arial"/>
          <w:sz w:val="24"/>
          <w:szCs w:val="24"/>
        </w:rPr>
      </w:pPr>
      <w:r>
        <w:rPr>
          <w:rFonts w:ascii="Arial" w:hAnsi="Arial" w:cs="Arial"/>
          <w:sz w:val="24"/>
          <w:szCs w:val="24"/>
        </w:rPr>
        <w:t>Leader of the Council</w:t>
      </w:r>
      <w:r>
        <w:rPr>
          <w:rFonts w:cs="Calibri"/>
          <w:bCs/>
          <w:iCs/>
        </w:rPr>
        <w:t xml:space="preserve"> </w:t>
      </w:r>
    </w:p>
    <w:sectPr w:rsidR="00B05406" w:rsidRPr="00B05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1615"/>
    <w:multiLevelType w:val="hybridMultilevel"/>
    <w:tmpl w:val="CA98DA02"/>
    <w:lvl w:ilvl="0" w:tplc="35849A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107D6"/>
    <w:multiLevelType w:val="hybridMultilevel"/>
    <w:tmpl w:val="6C2EC374"/>
    <w:lvl w:ilvl="0" w:tplc="1A24160A">
      <w:start w:val="1"/>
      <w:numFmt w:val="decimal"/>
      <w:lvlText w:val="%1."/>
      <w:lvlJc w:val="left"/>
      <w:pPr>
        <w:ind w:left="360" w:hanging="360"/>
      </w:pPr>
      <w:rPr>
        <w:rFonts w:asciiTheme="minorHAnsi" w:hAnsiTheme="minorHAnsi" w:cstheme="minorHAnsi" w:hint="default"/>
        <w:i w:val="0"/>
        <w:iCs/>
      </w:rPr>
    </w:lvl>
    <w:lvl w:ilvl="1" w:tplc="D60E8E9C">
      <w:start w:val="1"/>
      <w:numFmt w:val="lowerLetter"/>
      <w:lvlText w:val="%2."/>
      <w:lvlJc w:val="left"/>
      <w:pPr>
        <w:ind w:left="1080" w:hanging="360"/>
      </w:pPr>
    </w:lvl>
    <w:lvl w:ilvl="2" w:tplc="5EF2C7F6">
      <w:start w:val="1"/>
      <w:numFmt w:val="lowerRoman"/>
      <w:lvlText w:val="%3."/>
      <w:lvlJc w:val="right"/>
      <w:pPr>
        <w:ind w:left="1800" w:hanging="180"/>
      </w:pPr>
    </w:lvl>
    <w:lvl w:ilvl="3" w:tplc="C7BE3BC2">
      <w:start w:val="1"/>
      <w:numFmt w:val="decimal"/>
      <w:lvlText w:val="%4."/>
      <w:lvlJc w:val="left"/>
      <w:pPr>
        <w:ind w:left="2520" w:hanging="360"/>
      </w:pPr>
    </w:lvl>
    <w:lvl w:ilvl="4" w:tplc="0BECDFD6">
      <w:start w:val="1"/>
      <w:numFmt w:val="lowerLetter"/>
      <w:lvlText w:val="%5."/>
      <w:lvlJc w:val="left"/>
      <w:pPr>
        <w:ind w:left="3240" w:hanging="360"/>
      </w:pPr>
    </w:lvl>
    <w:lvl w:ilvl="5" w:tplc="C09CD78E">
      <w:start w:val="1"/>
      <w:numFmt w:val="lowerRoman"/>
      <w:lvlText w:val="%6."/>
      <w:lvlJc w:val="right"/>
      <w:pPr>
        <w:ind w:left="3960" w:hanging="180"/>
      </w:pPr>
    </w:lvl>
    <w:lvl w:ilvl="6" w:tplc="FD625816">
      <w:start w:val="1"/>
      <w:numFmt w:val="decimal"/>
      <w:lvlText w:val="%7."/>
      <w:lvlJc w:val="left"/>
      <w:pPr>
        <w:ind w:left="4680" w:hanging="360"/>
      </w:pPr>
    </w:lvl>
    <w:lvl w:ilvl="7" w:tplc="A3CC75EA">
      <w:start w:val="1"/>
      <w:numFmt w:val="lowerLetter"/>
      <w:lvlText w:val="%8."/>
      <w:lvlJc w:val="left"/>
      <w:pPr>
        <w:ind w:left="5400" w:hanging="360"/>
      </w:pPr>
    </w:lvl>
    <w:lvl w:ilvl="8" w:tplc="F490DECC">
      <w:start w:val="1"/>
      <w:numFmt w:val="lowerRoman"/>
      <w:lvlText w:val="%9."/>
      <w:lvlJc w:val="right"/>
      <w:pPr>
        <w:ind w:left="6120" w:hanging="180"/>
      </w:pPr>
    </w:lvl>
  </w:abstractNum>
  <w:abstractNum w:abstractNumId="2"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A4B09"/>
    <w:multiLevelType w:val="hybridMultilevel"/>
    <w:tmpl w:val="3460B4D6"/>
    <w:lvl w:ilvl="0" w:tplc="81CAC66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F836933"/>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639BB"/>
    <w:multiLevelType w:val="hybridMultilevel"/>
    <w:tmpl w:val="CFB028F2"/>
    <w:lvl w:ilvl="0" w:tplc="01BA9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AAE62A2"/>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E5B2D"/>
    <w:multiLevelType w:val="hybridMultilevel"/>
    <w:tmpl w:val="1FB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16438"/>
    <w:multiLevelType w:val="hybridMultilevel"/>
    <w:tmpl w:val="785E2AE8"/>
    <w:lvl w:ilvl="0" w:tplc="31F886C4">
      <w:start w:val="1"/>
      <w:numFmt w:val="decimal"/>
      <w:lvlText w:val="%1."/>
      <w:lvlJc w:val="left"/>
      <w:pPr>
        <w:ind w:left="360" w:hanging="360"/>
      </w:pPr>
      <w:rPr>
        <w:b w:val="0"/>
      </w:rPr>
    </w:lvl>
    <w:lvl w:ilvl="1" w:tplc="81A28DB0">
      <w:start w:val="1"/>
      <w:numFmt w:val="lowerRoman"/>
      <w:lvlText w:val="%2."/>
      <w:lvlJc w:val="right"/>
      <w:pPr>
        <w:ind w:left="1080" w:hanging="360"/>
      </w:pPr>
      <w:rPr>
        <w:b w:val="0"/>
        <w:bCs w:val="0"/>
      </w:rPr>
    </w:lvl>
    <w:lvl w:ilvl="2" w:tplc="22268AF4">
      <w:start w:val="1"/>
      <w:numFmt w:val="lowerRoman"/>
      <w:lvlText w:val="%3."/>
      <w:lvlJc w:val="right"/>
      <w:pPr>
        <w:ind w:left="1800" w:hanging="180"/>
      </w:pPr>
    </w:lvl>
    <w:lvl w:ilvl="3" w:tplc="454AA8C2">
      <w:start w:val="1"/>
      <w:numFmt w:val="decimal"/>
      <w:lvlText w:val="%4."/>
      <w:lvlJc w:val="left"/>
      <w:pPr>
        <w:ind w:left="2520" w:hanging="360"/>
      </w:pPr>
    </w:lvl>
    <w:lvl w:ilvl="4" w:tplc="96CA357E">
      <w:start w:val="1"/>
      <w:numFmt w:val="lowerLetter"/>
      <w:lvlText w:val="%5."/>
      <w:lvlJc w:val="left"/>
      <w:pPr>
        <w:ind w:left="3240" w:hanging="360"/>
      </w:pPr>
    </w:lvl>
    <w:lvl w:ilvl="5" w:tplc="8848C280">
      <w:start w:val="1"/>
      <w:numFmt w:val="lowerRoman"/>
      <w:lvlText w:val="%6."/>
      <w:lvlJc w:val="right"/>
      <w:pPr>
        <w:ind w:left="3960" w:hanging="180"/>
      </w:pPr>
    </w:lvl>
    <w:lvl w:ilvl="6" w:tplc="2134427A">
      <w:start w:val="1"/>
      <w:numFmt w:val="decimal"/>
      <w:lvlText w:val="%7."/>
      <w:lvlJc w:val="left"/>
      <w:pPr>
        <w:ind w:left="4680" w:hanging="360"/>
      </w:pPr>
    </w:lvl>
    <w:lvl w:ilvl="7" w:tplc="924879F6">
      <w:start w:val="1"/>
      <w:numFmt w:val="lowerLetter"/>
      <w:lvlText w:val="%8."/>
      <w:lvlJc w:val="left"/>
      <w:pPr>
        <w:ind w:left="5400" w:hanging="360"/>
      </w:pPr>
    </w:lvl>
    <w:lvl w:ilvl="8" w:tplc="630889C8">
      <w:start w:val="1"/>
      <w:numFmt w:val="lowerRoman"/>
      <w:lvlText w:val="%9."/>
      <w:lvlJc w:val="right"/>
      <w:pPr>
        <w:ind w:left="6120" w:hanging="180"/>
      </w:pPr>
    </w:lvl>
  </w:abstractNum>
  <w:abstractNum w:abstractNumId="10" w15:restartNumberingAfterBreak="0">
    <w:nsid w:val="44052E4D"/>
    <w:multiLevelType w:val="hybridMultilevel"/>
    <w:tmpl w:val="59B4D678"/>
    <w:lvl w:ilvl="0" w:tplc="9F52BB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5FB73B4"/>
    <w:multiLevelType w:val="hybridMultilevel"/>
    <w:tmpl w:val="0E50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13" w15:restartNumberingAfterBreak="0">
    <w:nsid w:val="53E2434E"/>
    <w:multiLevelType w:val="hybridMultilevel"/>
    <w:tmpl w:val="1D3CEE34"/>
    <w:lvl w:ilvl="0" w:tplc="05861DB4">
      <w:start w:val="1"/>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0B61AD"/>
    <w:multiLevelType w:val="hybridMultilevel"/>
    <w:tmpl w:val="0AFA644C"/>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614F5C"/>
    <w:multiLevelType w:val="hybridMultilevel"/>
    <w:tmpl w:val="62782EC0"/>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60224CC0"/>
    <w:multiLevelType w:val="hybridMultilevel"/>
    <w:tmpl w:val="63368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3B3D1B"/>
    <w:multiLevelType w:val="hybridMultilevel"/>
    <w:tmpl w:val="5B3C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6044F1"/>
    <w:multiLevelType w:val="hybridMultilevel"/>
    <w:tmpl w:val="44FA89FC"/>
    <w:lvl w:ilvl="0" w:tplc="EACA1046">
      <w:start w:val="1"/>
      <w:numFmt w:val="decimal"/>
      <w:lvlText w:val="%1."/>
      <w:lvlJc w:val="left"/>
      <w:pPr>
        <w:ind w:left="1080" w:hanging="720"/>
      </w:pPr>
      <w:rPr>
        <w:rFonts w:ascii="Arial" w:eastAsia="Times New Roman" w:hAnsi="Arial" w:cstheme="minorHAns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0"/>
  </w:num>
  <w:num w:numId="10">
    <w:abstractNumId w:val="3"/>
  </w:num>
  <w:num w:numId="11">
    <w:abstractNumId w:val="17"/>
  </w:num>
  <w:num w:numId="12">
    <w:abstractNumId w:val="13"/>
  </w:num>
  <w:num w:numId="13">
    <w:abstractNumId w:val="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54D9"/>
    <w:rsid w:val="000263B2"/>
    <w:rsid w:val="00054371"/>
    <w:rsid w:val="00060091"/>
    <w:rsid w:val="00060D84"/>
    <w:rsid w:val="00074DEC"/>
    <w:rsid w:val="00075FF2"/>
    <w:rsid w:val="0008231C"/>
    <w:rsid w:val="000873EA"/>
    <w:rsid w:val="00090940"/>
    <w:rsid w:val="000A1773"/>
    <w:rsid w:val="000A1B09"/>
    <w:rsid w:val="000A1E31"/>
    <w:rsid w:val="000A49FE"/>
    <w:rsid w:val="000B554C"/>
    <w:rsid w:val="000B77EE"/>
    <w:rsid w:val="000D2E0A"/>
    <w:rsid w:val="000D77CC"/>
    <w:rsid w:val="000E13D5"/>
    <w:rsid w:val="000E6B65"/>
    <w:rsid w:val="000E74BB"/>
    <w:rsid w:val="000F00C3"/>
    <w:rsid w:val="00100090"/>
    <w:rsid w:val="00110C05"/>
    <w:rsid w:val="00115EA4"/>
    <w:rsid w:val="00116711"/>
    <w:rsid w:val="00121FB5"/>
    <w:rsid w:val="00124C30"/>
    <w:rsid w:val="00133FBB"/>
    <w:rsid w:val="001503A8"/>
    <w:rsid w:val="001522CE"/>
    <w:rsid w:val="001536B8"/>
    <w:rsid w:val="001547C1"/>
    <w:rsid w:val="0015774B"/>
    <w:rsid w:val="00165473"/>
    <w:rsid w:val="00173379"/>
    <w:rsid w:val="001900DA"/>
    <w:rsid w:val="001B28C8"/>
    <w:rsid w:val="001B2EEC"/>
    <w:rsid w:val="001B3AA3"/>
    <w:rsid w:val="001C08CD"/>
    <w:rsid w:val="001C5BBF"/>
    <w:rsid w:val="001C60EE"/>
    <w:rsid w:val="001D2616"/>
    <w:rsid w:val="001E7E00"/>
    <w:rsid w:val="001F104C"/>
    <w:rsid w:val="001F229A"/>
    <w:rsid w:val="001F314A"/>
    <w:rsid w:val="001F4E7B"/>
    <w:rsid w:val="00202447"/>
    <w:rsid w:val="00203DBD"/>
    <w:rsid w:val="00211889"/>
    <w:rsid w:val="00221D32"/>
    <w:rsid w:val="00222653"/>
    <w:rsid w:val="0022321C"/>
    <w:rsid w:val="00224AAA"/>
    <w:rsid w:val="002267A0"/>
    <w:rsid w:val="002312F9"/>
    <w:rsid w:val="00231804"/>
    <w:rsid w:val="0024149D"/>
    <w:rsid w:val="00244AEB"/>
    <w:rsid w:val="002558E0"/>
    <w:rsid w:val="0026050B"/>
    <w:rsid w:val="002624C3"/>
    <w:rsid w:val="002707D9"/>
    <w:rsid w:val="00272C09"/>
    <w:rsid w:val="0028788C"/>
    <w:rsid w:val="002953D6"/>
    <w:rsid w:val="002A0192"/>
    <w:rsid w:val="002B07DA"/>
    <w:rsid w:val="002B0DC3"/>
    <w:rsid w:val="002B3E08"/>
    <w:rsid w:val="002B6AA4"/>
    <w:rsid w:val="002C068C"/>
    <w:rsid w:val="002C2CA6"/>
    <w:rsid w:val="002E28C6"/>
    <w:rsid w:val="002E4377"/>
    <w:rsid w:val="002E6E51"/>
    <w:rsid w:val="003062D9"/>
    <w:rsid w:val="003161FA"/>
    <w:rsid w:val="00325A9C"/>
    <w:rsid w:val="003332EA"/>
    <w:rsid w:val="003412B5"/>
    <w:rsid w:val="00350552"/>
    <w:rsid w:val="00351663"/>
    <w:rsid w:val="0035380D"/>
    <w:rsid w:val="00354B10"/>
    <w:rsid w:val="00357B6A"/>
    <w:rsid w:val="00364773"/>
    <w:rsid w:val="00365370"/>
    <w:rsid w:val="00366069"/>
    <w:rsid w:val="0036760F"/>
    <w:rsid w:val="00370EEB"/>
    <w:rsid w:val="00372378"/>
    <w:rsid w:val="0037581E"/>
    <w:rsid w:val="00383D56"/>
    <w:rsid w:val="00385934"/>
    <w:rsid w:val="0038761D"/>
    <w:rsid w:val="00397ADD"/>
    <w:rsid w:val="003A1FF8"/>
    <w:rsid w:val="003A34EC"/>
    <w:rsid w:val="003B0469"/>
    <w:rsid w:val="003B7D27"/>
    <w:rsid w:val="003C3353"/>
    <w:rsid w:val="003C3540"/>
    <w:rsid w:val="003E0D2A"/>
    <w:rsid w:val="003F03D5"/>
    <w:rsid w:val="003F0669"/>
    <w:rsid w:val="004075C3"/>
    <w:rsid w:val="004109E5"/>
    <w:rsid w:val="004110C1"/>
    <w:rsid w:val="0042449F"/>
    <w:rsid w:val="004358DB"/>
    <w:rsid w:val="00436D23"/>
    <w:rsid w:val="0043775C"/>
    <w:rsid w:val="00440637"/>
    <w:rsid w:val="004473E2"/>
    <w:rsid w:val="0045085E"/>
    <w:rsid w:val="004537E4"/>
    <w:rsid w:val="00460FB1"/>
    <w:rsid w:val="00467C55"/>
    <w:rsid w:val="004719E7"/>
    <w:rsid w:val="00484417"/>
    <w:rsid w:val="004860B9"/>
    <w:rsid w:val="00486ECB"/>
    <w:rsid w:val="004875AA"/>
    <w:rsid w:val="00487FFC"/>
    <w:rsid w:val="004919DC"/>
    <w:rsid w:val="00493110"/>
    <w:rsid w:val="00495D7E"/>
    <w:rsid w:val="00496835"/>
    <w:rsid w:val="004972D5"/>
    <w:rsid w:val="004C435C"/>
    <w:rsid w:val="004C5D10"/>
    <w:rsid w:val="004D5C05"/>
    <w:rsid w:val="004E1360"/>
    <w:rsid w:val="004E1CA1"/>
    <w:rsid w:val="004E2A53"/>
    <w:rsid w:val="004E3154"/>
    <w:rsid w:val="004F55DE"/>
    <w:rsid w:val="00505145"/>
    <w:rsid w:val="0051287C"/>
    <w:rsid w:val="005132E6"/>
    <w:rsid w:val="0051502E"/>
    <w:rsid w:val="00525B9F"/>
    <w:rsid w:val="00525F88"/>
    <w:rsid w:val="0053206E"/>
    <w:rsid w:val="00533598"/>
    <w:rsid w:val="00533A25"/>
    <w:rsid w:val="00545626"/>
    <w:rsid w:val="00546A87"/>
    <w:rsid w:val="00547D1A"/>
    <w:rsid w:val="00553A63"/>
    <w:rsid w:val="00564486"/>
    <w:rsid w:val="00565DD6"/>
    <w:rsid w:val="00575B00"/>
    <w:rsid w:val="0057618D"/>
    <w:rsid w:val="00580D38"/>
    <w:rsid w:val="005837CD"/>
    <w:rsid w:val="00590FFC"/>
    <w:rsid w:val="005A63FE"/>
    <w:rsid w:val="005A6F91"/>
    <w:rsid w:val="005C223C"/>
    <w:rsid w:val="005C287C"/>
    <w:rsid w:val="005C4299"/>
    <w:rsid w:val="005C7491"/>
    <w:rsid w:val="005D1256"/>
    <w:rsid w:val="005E0A78"/>
    <w:rsid w:val="005E0C47"/>
    <w:rsid w:val="005F5B81"/>
    <w:rsid w:val="00603DD4"/>
    <w:rsid w:val="00644C50"/>
    <w:rsid w:val="00650A47"/>
    <w:rsid w:val="00667392"/>
    <w:rsid w:val="00675D07"/>
    <w:rsid w:val="00684099"/>
    <w:rsid w:val="006840AE"/>
    <w:rsid w:val="00687897"/>
    <w:rsid w:val="00691406"/>
    <w:rsid w:val="006939B7"/>
    <w:rsid w:val="006A4B97"/>
    <w:rsid w:val="006B08C3"/>
    <w:rsid w:val="006B28CE"/>
    <w:rsid w:val="006B6DBF"/>
    <w:rsid w:val="006C500A"/>
    <w:rsid w:val="006E40CA"/>
    <w:rsid w:val="006E59BD"/>
    <w:rsid w:val="006F02D3"/>
    <w:rsid w:val="00704E3F"/>
    <w:rsid w:val="007068A5"/>
    <w:rsid w:val="0072061A"/>
    <w:rsid w:val="00723559"/>
    <w:rsid w:val="00731372"/>
    <w:rsid w:val="00731C12"/>
    <w:rsid w:val="0073309C"/>
    <w:rsid w:val="00736D83"/>
    <w:rsid w:val="00737866"/>
    <w:rsid w:val="0076034B"/>
    <w:rsid w:val="007663AC"/>
    <w:rsid w:val="00770C81"/>
    <w:rsid w:val="00790B4F"/>
    <w:rsid w:val="007B2356"/>
    <w:rsid w:val="007B558E"/>
    <w:rsid w:val="007B6A76"/>
    <w:rsid w:val="007C3550"/>
    <w:rsid w:val="007D4DFB"/>
    <w:rsid w:val="007D59C8"/>
    <w:rsid w:val="007E00B2"/>
    <w:rsid w:val="007E56CA"/>
    <w:rsid w:val="007F5AB1"/>
    <w:rsid w:val="00803472"/>
    <w:rsid w:val="00804455"/>
    <w:rsid w:val="00820A07"/>
    <w:rsid w:val="00821256"/>
    <w:rsid w:val="00832717"/>
    <w:rsid w:val="00851535"/>
    <w:rsid w:val="00860DD8"/>
    <w:rsid w:val="00862FFC"/>
    <w:rsid w:val="008769DE"/>
    <w:rsid w:val="008776A0"/>
    <w:rsid w:val="0088186E"/>
    <w:rsid w:val="00890B4E"/>
    <w:rsid w:val="0089174E"/>
    <w:rsid w:val="00896B69"/>
    <w:rsid w:val="008D473B"/>
    <w:rsid w:val="008E6407"/>
    <w:rsid w:val="008F3D86"/>
    <w:rsid w:val="008F5050"/>
    <w:rsid w:val="008F5BC2"/>
    <w:rsid w:val="00907954"/>
    <w:rsid w:val="009108A7"/>
    <w:rsid w:val="00911F80"/>
    <w:rsid w:val="00920304"/>
    <w:rsid w:val="00921617"/>
    <w:rsid w:val="0093791A"/>
    <w:rsid w:val="00944093"/>
    <w:rsid w:val="0094530B"/>
    <w:rsid w:val="00953B0A"/>
    <w:rsid w:val="00962A7A"/>
    <w:rsid w:val="009847FF"/>
    <w:rsid w:val="00992BC3"/>
    <w:rsid w:val="00995017"/>
    <w:rsid w:val="009A0903"/>
    <w:rsid w:val="009A5B08"/>
    <w:rsid w:val="009A5D9A"/>
    <w:rsid w:val="009B0274"/>
    <w:rsid w:val="009C0978"/>
    <w:rsid w:val="009C2C3A"/>
    <w:rsid w:val="009D2DA3"/>
    <w:rsid w:val="009E3735"/>
    <w:rsid w:val="009E6254"/>
    <w:rsid w:val="009F0ED0"/>
    <w:rsid w:val="00A015A2"/>
    <w:rsid w:val="00A066E9"/>
    <w:rsid w:val="00A114DB"/>
    <w:rsid w:val="00A12E65"/>
    <w:rsid w:val="00A160B3"/>
    <w:rsid w:val="00A17815"/>
    <w:rsid w:val="00A27337"/>
    <w:rsid w:val="00A34F3F"/>
    <w:rsid w:val="00A35FF7"/>
    <w:rsid w:val="00A45C7E"/>
    <w:rsid w:val="00A524AD"/>
    <w:rsid w:val="00A54E2A"/>
    <w:rsid w:val="00A64278"/>
    <w:rsid w:val="00A64564"/>
    <w:rsid w:val="00A647AE"/>
    <w:rsid w:val="00A74866"/>
    <w:rsid w:val="00A77BF5"/>
    <w:rsid w:val="00A9022E"/>
    <w:rsid w:val="00A90AAF"/>
    <w:rsid w:val="00A94C19"/>
    <w:rsid w:val="00A9782D"/>
    <w:rsid w:val="00AA3274"/>
    <w:rsid w:val="00AA458A"/>
    <w:rsid w:val="00AB0C3C"/>
    <w:rsid w:val="00AB5017"/>
    <w:rsid w:val="00AB5792"/>
    <w:rsid w:val="00AC4155"/>
    <w:rsid w:val="00AD0427"/>
    <w:rsid w:val="00AD55B4"/>
    <w:rsid w:val="00AE05F6"/>
    <w:rsid w:val="00AF49F1"/>
    <w:rsid w:val="00B008BC"/>
    <w:rsid w:val="00B05406"/>
    <w:rsid w:val="00B12190"/>
    <w:rsid w:val="00B178E0"/>
    <w:rsid w:val="00B2705F"/>
    <w:rsid w:val="00B2789E"/>
    <w:rsid w:val="00B3192C"/>
    <w:rsid w:val="00B40D8D"/>
    <w:rsid w:val="00B46B90"/>
    <w:rsid w:val="00B562DD"/>
    <w:rsid w:val="00B57D11"/>
    <w:rsid w:val="00B61C4F"/>
    <w:rsid w:val="00B62E48"/>
    <w:rsid w:val="00B76FBB"/>
    <w:rsid w:val="00B813EE"/>
    <w:rsid w:val="00B869F7"/>
    <w:rsid w:val="00B86C06"/>
    <w:rsid w:val="00BA1209"/>
    <w:rsid w:val="00BC12E7"/>
    <w:rsid w:val="00BC7F7F"/>
    <w:rsid w:val="00BD2E99"/>
    <w:rsid w:val="00BE02CE"/>
    <w:rsid w:val="00BE2749"/>
    <w:rsid w:val="00BE468E"/>
    <w:rsid w:val="00BE4C2A"/>
    <w:rsid w:val="00BF009C"/>
    <w:rsid w:val="00C029FE"/>
    <w:rsid w:val="00C11109"/>
    <w:rsid w:val="00C14C34"/>
    <w:rsid w:val="00C439B6"/>
    <w:rsid w:val="00C541D7"/>
    <w:rsid w:val="00C54758"/>
    <w:rsid w:val="00C86BE0"/>
    <w:rsid w:val="00C87C87"/>
    <w:rsid w:val="00C9064E"/>
    <w:rsid w:val="00C91911"/>
    <w:rsid w:val="00CA3549"/>
    <w:rsid w:val="00CA6376"/>
    <w:rsid w:val="00CA6BDC"/>
    <w:rsid w:val="00CB3D58"/>
    <w:rsid w:val="00CB6B5B"/>
    <w:rsid w:val="00CC4960"/>
    <w:rsid w:val="00CD13F2"/>
    <w:rsid w:val="00CD3354"/>
    <w:rsid w:val="00CD4B75"/>
    <w:rsid w:val="00CE71BA"/>
    <w:rsid w:val="00CF2FB3"/>
    <w:rsid w:val="00CF6B62"/>
    <w:rsid w:val="00D061D5"/>
    <w:rsid w:val="00D068F4"/>
    <w:rsid w:val="00D10ABF"/>
    <w:rsid w:val="00D12AE2"/>
    <w:rsid w:val="00D2299C"/>
    <w:rsid w:val="00D35423"/>
    <w:rsid w:val="00D404C3"/>
    <w:rsid w:val="00D57E78"/>
    <w:rsid w:val="00D62B3A"/>
    <w:rsid w:val="00D70ABB"/>
    <w:rsid w:val="00D90348"/>
    <w:rsid w:val="00D93868"/>
    <w:rsid w:val="00D9731B"/>
    <w:rsid w:val="00D97D2A"/>
    <w:rsid w:val="00DA369E"/>
    <w:rsid w:val="00DA6645"/>
    <w:rsid w:val="00DA70EB"/>
    <w:rsid w:val="00DB1978"/>
    <w:rsid w:val="00DB36C4"/>
    <w:rsid w:val="00DB44A0"/>
    <w:rsid w:val="00DB5BCA"/>
    <w:rsid w:val="00DC3E7A"/>
    <w:rsid w:val="00DC4549"/>
    <w:rsid w:val="00DC47E3"/>
    <w:rsid w:val="00DC4990"/>
    <w:rsid w:val="00DC57BA"/>
    <w:rsid w:val="00DD0443"/>
    <w:rsid w:val="00DD04BE"/>
    <w:rsid w:val="00DD4E06"/>
    <w:rsid w:val="00DE08EA"/>
    <w:rsid w:val="00DE7562"/>
    <w:rsid w:val="00E0313D"/>
    <w:rsid w:val="00E06825"/>
    <w:rsid w:val="00E25A12"/>
    <w:rsid w:val="00E33C5B"/>
    <w:rsid w:val="00E340E9"/>
    <w:rsid w:val="00E46DEE"/>
    <w:rsid w:val="00E47F21"/>
    <w:rsid w:val="00E5332F"/>
    <w:rsid w:val="00E54138"/>
    <w:rsid w:val="00E61BA5"/>
    <w:rsid w:val="00E621B9"/>
    <w:rsid w:val="00E622B0"/>
    <w:rsid w:val="00E728C9"/>
    <w:rsid w:val="00E804C5"/>
    <w:rsid w:val="00E87333"/>
    <w:rsid w:val="00E91160"/>
    <w:rsid w:val="00E94467"/>
    <w:rsid w:val="00E94C86"/>
    <w:rsid w:val="00E95B95"/>
    <w:rsid w:val="00E9647B"/>
    <w:rsid w:val="00EA1E62"/>
    <w:rsid w:val="00EA2886"/>
    <w:rsid w:val="00EA322A"/>
    <w:rsid w:val="00EA7EA0"/>
    <w:rsid w:val="00EC216C"/>
    <w:rsid w:val="00EC3057"/>
    <w:rsid w:val="00EC5825"/>
    <w:rsid w:val="00ED3317"/>
    <w:rsid w:val="00ED6657"/>
    <w:rsid w:val="00EE72BC"/>
    <w:rsid w:val="00EF09C7"/>
    <w:rsid w:val="00F00AD8"/>
    <w:rsid w:val="00F14E26"/>
    <w:rsid w:val="00F1761D"/>
    <w:rsid w:val="00F21FDE"/>
    <w:rsid w:val="00F22635"/>
    <w:rsid w:val="00F237E0"/>
    <w:rsid w:val="00F26DB0"/>
    <w:rsid w:val="00F2788A"/>
    <w:rsid w:val="00F31C63"/>
    <w:rsid w:val="00F45953"/>
    <w:rsid w:val="00F5153E"/>
    <w:rsid w:val="00F573D9"/>
    <w:rsid w:val="00F60388"/>
    <w:rsid w:val="00F71758"/>
    <w:rsid w:val="00F76816"/>
    <w:rsid w:val="00F83742"/>
    <w:rsid w:val="00F928EA"/>
    <w:rsid w:val="00FA4AA9"/>
    <w:rsid w:val="00FB21B1"/>
    <w:rsid w:val="00FC4A74"/>
    <w:rsid w:val="00FD2B68"/>
    <w:rsid w:val="00FD2CBF"/>
    <w:rsid w:val="00FD3C79"/>
    <w:rsid w:val="00FE384E"/>
    <w:rsid w:val="00FE3CA0"/>
    <w:rsid w:val="00FF26E6"/>
    <w:rsid w:val="00FF30FC"/>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semiHidden/>
    <w:unhideWhenUsed/>
    <w:rsid w:val="000A1B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61223380">
      <w:bodyDiv w:val="1"/>
      <w:marLeft w:val="0"/>
      <w:marRight w:val="0"/>
      <w:marTop w:val="0"/>
      <w:marBottom w:val="0"/>
      <w:divBdr>
        <w:top w:val="none" w:sz="0" w:space="0" w:color="auto"/>
        <w:left w:val="none" w:sz="0" w:space="0" w:color="auto"/>
        <w:bottom w:val="none" w:sz="0" w:space="0" w:color="auto"/>
        <w:right w:val="none" w:sz="0" w:space="0" w:color="auto"/>
      </w:divBdr>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116729632">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32842379">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3001696">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2750040">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10547280">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4859264">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23131422">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8737285">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454022">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77571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5155990">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52719132">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54598215">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993415486">
      <w:bodyDiv w:val="1"/>
      <w:marLeft w:val="0"/>
      <w:marRight w:val="0"/>
      <w:marTop w:val="0"/>
      <w:marBottom w:val="0"/>
      <w:divBdr>
        <w:top w:val="none" w:sz="0" w:space="0" w:color="auto"/>
        <w:left w:val="none" w:sz="0" w:space="0" w:color="auto"/>
        <w:bottom w:val="none" w:sz="0" w:space="0" w:color="auto"/>
        <w:right w:val="none" w:sz="0" w:space="0" w:color="auto"/>
      </w:divBdr>
      <w:divsChild>
        <w:div w:id="38017329">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44259292">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7632309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0583280">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69098338">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32539420">
      <w:bodyDiv w:val="1"/>
      <w:marLeft w:val="0"/>
      <w:marRight w:val="0"/>
      <w:marTop w:val="0"/>
      <w:marBottom w:val="0"/>
      <w:divBdr>
        <w:top w:val="none" w:sz="0" w:space="0" w:color="auto"/>
        <w:left w:val="none" w:sz="0" w:space="0" w:color="auto"/>
        <w:bottom w:val="none" w:sz="0" w:space="0" w:color="auto"/>
        <w:right w:val="none" w:sz="0" w:space="0" w:color="auto"/>
      </w:divBdr>
    </w:div>
    <w:div w:id="1233738414">
      <w:bodyDiv w:val="1"/>
      <w:marLeft w:val="0"/>
      <w:marRight w:val="0"/>
      <w:marTop w:val="0"/>
      <w:marBottom w:val="0"/>
      <w:divBdr>
        <w:top w:val="none" w:sz="0" w:space="0" w:color="auto"/>
        <w:left w:val="none" w:sz="0" w:space="0" w:color="auto"/>
        <w:bottom w:val="none" w:sz="0" w:space="0" w:color="auto"/>
        <w:right w:val="none" w:sz="0" w:space="0" w:color="auto"/>
      </w:divBdr>
    </w:div>
    <w:div w:id="1244412869">
      <w:bodyDiv w:val="1"/>
      <w:marLeft w:val="0"/>
      <w:marRight w:val="0"/>
      <w:marTop w:val="0"/>
      <w:marBottom w:val="0"/>
      <w:divBdr>
        <w:top w:val="none" w:sz="0" w:space="0" w:color="auto"/>
        <w:left w:val="none" w:sz="0" w:space="0" w:color="auto"/>
        <w:bottom w:val="none" w:sz="0" w:space="0" w:color="auto"/>
        <w:right w:val="none" w:sz="0" w:space="0" w:color="auto"/>
      </w:divBdr>
    </w:div>
    <w:div w:id="1252156066">
      <w:bodyDiv w:val="1"/>
      <w:marLeft w:val="0"/>
      <w:marRight w:val="0"/>
      <w:marTop w:val="0"/>
      <w:marBottom w:val="0"/>
      <w:divBdr>
        <w:top w:val="none" w:sz="0" w:space="0" w:color="auto"/>
        <w:left w:val="none" w:sz="0" w:space="0" w:color="auto"/>
        <w:bottom w:val="none" w:sz="0" w:space="0" w:color="auto"/>
        <w:right w:val="none" w:sz="0" w:space="0" w:color="auto"/>
      </w:divBdr>
    </w:div>
    <w:div w:id="1253122987">
      <w:bodyDiv w:val="1"/>
      <w:marLeft w:val="0"/>
      <w:marRight w:val="0"/>
      <w:marTop w:val="0"/>
      <w:marBottom w:val="0"/>
      <w:divBdr>
        <w:top w:val="none" w:sz="0" w:space="0" w:color="auto"/>
        <w:left w:val="none" w:sz="0" w:space="0" w:color="auto"/>
        <w:bottom w:val="none" w:sz="0" w:space="0" w:color="auto"/>
        <w:right w:val="none" w:sz="0" w:space="0" w:color="auto"/>
      </w:divBdr>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291740230">
      <w:bodyDiv w:val="1"/>
      <w:marLeft w:val="0"/>
      <w:marRight w:val="0"/>
      <w:marTop w:val="0"/>
      <w:marBottom w:val="0"/>
      <w:divBdr>
        <w:top w:val="none" w:sz="0" w:space="0" w:color="auto"/>
        <w:left w:val="none" w:sz="0" w:space="0" w:color="auto"/>
        <w:bottom w:val="none" w:sz="0" w:space="0" w:color="auto"/>
        <w:right w:val="none" w:sz="0" w:space="0" w:color="auto"/>
      </w:divBdr>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
    <w:div w:id="1303191456">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6732494">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83154426">
      <w:bodyDiv w:val="1"/>
      <w:marLeft w:val="0"/>
      <w:marRight w:val="0"/>
      <w:marTop w:val="0"/>
      <w:marBottom w:val="0"/>
      <w:divBdr>
        <w:top w:val="none" w:sz="0" w:space="0" w:color="auto"/>
        <w:left w:val="none" w:sz="0" w:space="0" w:color="auto"/>
        <w:bottom w:val="none" w:sz="0" w:space="0" w:color="auto"/>
        <w:right w:val="none" w:sz="0" w:space="0" w:color="auto"/>
      </w:divBdr>
    </w:div>
    <w:div w:id="1490250622">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09055840">
      <w:bodyDiv w:val="1"/>
      <w:marLeft w:val="0"/>
      <w:marRight w:val="0"/>
      <w:marTop w:val="0"/>
      <w:marBottom w:val="0"/>
      <w:divBdr>
        <w:top w:val="none" w:sz="0" w:space="0" w:color="auto"/>
        <w:left w:val="none" w:sz="0" w:space="0" w:color="auto"/>
        <w:bottom w:val="none" w:sz="0" w:space="0" w:color="auto"/>
        <w:right w:val="none" w:sz="0" w:space="0" w:color="auto"/>
      </w:divBdr>
    </w:div>
    <w:div w:id="1511485661">
      <w:bodyDiv w:val="1"/>
      <w:marLeft w:val="0"/>
      <w:marRight w:val="0"/>
      <w:marTop w:val="0"/>
      <w:marBottom w:val="0"/>
      <w:divBdr>
        <w:top w:val="none" w:sz="0" w:space="0" w:color="auto"/>
        <w:left w:val="none" w:sz="0" w:space="0" w:color="auto"/>
        <w:bottom w:val="none" w:sz="0" w:space="0" w:color="auto"/>
        <w:right w:val="none" w:sz="0" w:space="0" w:color="auto"/>
      </w:divBdr>
    </w:div>
    <w:div w:id="1517310731">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33154083">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57741670">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47667216">
      <w:bodyDiv w:val="1"/>
      <w:marLeft w:val="0"/>
      <w:marRight w:val="0"/>
      <w:marTop w:val="0"/>
      <w:marBottom w:val="0"/>
      <w:divBdr>
        <w:top w:val="none" w:sz="0" w:space="0" w:color="auto"/>
        <w:left w:val="none" w:sz="0" w:space="0" w:color="auto"/>
        <w:bottom w:val="none" w:sz="0" w:space="0" w:color="auto"/>
        <w:right w:val="none" w:sz="0" w:space="0" w:color="auto"/>
      </w:divBdr>
    </w:div>
    <w:div w:id="1650666036">
      <w:bodyDiv w:val="1"/>
      <w:marLeft w:val="0"/>
      <w:marRight w:val="0"/>
      <w:marTop w:val="0"/>
      <w:marBottom w:val="0"/>
      <w:divBdr>
        <w:top w:val="none" w:sz="0" w:space="0" w:color="auto"/>
        <w:left w:val="none" w:sz="0" w:space="0" w:color="auto"/>
        <w:bottom w:val="none" w:sz="0" w:space="0" w:color="auto"/>
        <w:right w:val="none" w:sz="0" w:space="0" w:color="auto"/>
      </w:divBdr>
    </w:div>
    <w:div w:id="1668628561">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21633331">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5854435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873763340">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5039768">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10545522">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4886396">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 w:id="2132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Ruth Rimmington</cp:lastModifiedBy>
  <cp:revision>19</cp:revision>
  <dcterms:created xsi:type="dcterms:W3CDTF">2022-09-16T12:12:00Z</dcterms:created>
  <dcterms:modified xsi:type="dcterms:W3CDTF">2022-09-16T15:41:00Z</dcterms:modified>
</cp:coreProperties>
</file>