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54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FA4A6F" w14:paraId="5190ABE2" w14:textId="77777777" w:rsidTr="00BF1CCE">
        <w:tc>
          <w:tcPr>
            <w:tcW w:w="5382" w:type="dxa"/>
            <w:shd w:val="clear" w:color="auto" w:fill="auto"/>
          </w:tcPr>
          <w:p w14:paraId="5190ABDF" w14:textId="77777777" w:rsidR="001073DC" w:rsidRPr="00D1305C" w:rsidRDefault="00EE3CEA" w:rsidP="003E7A51">
            <w:pPr>
              <w:spacing w:before="240" w:line="360" w:lineRule="auto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14:paraId="5190ABE0" w14:textId="77777777" w:rsidR="001073DC" w:rsidRPr="00D1305C" w:rsidRDefault="00EE3CEA" w:rsidP="003E7A51">
            <w:pPr>
              <w:spacing w:before="240"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</w:t>
            </w:r>
          </w:p>
          <w:p w14:paraId="5190ABE1" w14:textId="77777777" w:rsidR="001073DC" w:rsidRPr="00284E95" w:rsidRDefault="00EE3CEA" w:rsidP="00BF1CCE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lang w:eastAsia="en-GB"/>
              </w:rPr>
            </w:pPr>
          </w:p>
        </w:tc>
      </w:tr>
    </w:tbl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FA4A6F" w14:paraId="5190ABE6" w14:textId="77777777" w:rsidTr="00BF1CCE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5190ABE3" w14:textId="77777777" w:rsidR="00284E95" w:rsidRPr="00D4431F" w:rsidRDefault="00EE3CEA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5190ABE4" w14:textId="77777777" w:rsidR="00284E95" w:rsidRDefault="00EE3CEA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5190ABE5" w14:textId="77777777" w:rsidR="00284E95" w:rsidRPr="00D4431F" w:rsidRDefault="00EE3CEA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FA4A6F" w14:paraId="5190ABEB" w14:textId="77777777" w:rsidTr="00BF1CCE">
        <w:trPr>
          <w:cantSplit/>
          <w:trHeight w:val="942"/>
        </w:trPr>
        <w:tc>
          <w:tcPr>
            <w:tcW w:w="2835" w:type="dxa"/>
            <w:vAlign w:val="center"/>
          </w:tcPr>
          <w:p w14:paraId="5190ABE7" w14:textId="77777777" w:rsidR="00284E95" w:rsidRPr="00ED4FF1" w:rsidRDefault="00EE3CEA" w:rsidP="00BF1CCE">
            <w:pPr>
              <w:spacing w:after="0"/>
              <w:jc w:val="center"/>
            </w:pPr>
            <w:r>
              <w:fldChar w:fldCharType="begin"/>
            </w:r>
            <w:r>
              <w:instrText xml:space="preserve"> DOCPROPERTY  LeadDirector  \* MERGEFORMAT </w:instrText>
            </w:r>
            <w:r>
              <w:fldChar w:fldCharType="separate"/>
            </w:r>
            <w:r w:rsidRPr="00ED4FF1">
              <w:t>Director of Planning and Development</w:t>
            </w:r>
            <w:r>
              <w:fldChar w:fldCharType="end"/>
            </w:r>
          </w:p>
          <w:p w14:paraId="5190ABE8" w14:textId="77777777" w:rsidR="00284E95" w:rsidRPr="00ED4FF1" w:rsidRDefault="00EE3CEA" w:rsidP="00BF1CCE">
            <w:pPr>
              <w:jc w:val="center"/>
            </w:pPr>
            <w:r w:rsidRPr="00ED4FF1">
              <w:t xml:space="preserve">(Introduced by </w:t>
            </w:r>
            <w:r>
              <w:fldChar w:fldCharType="begin"/>
            </w:r>
            <w:r>
              <w:instrText xml:space="preserve"> DOCPROPERTY  LeadMember  \* MERGEFORMAT </w:instrText>
            </w:r>
            <w:r>
              <w:fldChar w:fldCharType="separate"/>
            </w:r>
            <w:r w:rsidRPr="00ED4FF1">
              <w:t xml:space="preserve">Cabinet Member (Planning, Business Support and </w:t>
            </w:r>
            <w:r w:rsidRPr="00ED4FF1">
              <w:t>Regeneration)</w:t>
            </w:r>
            <w:r>
              <w:fldChar w:fldCharType="end"/>
            </w:r>
            <w:r w:rsidRPr="00ED4FF1">
              <w:t>)</w:t>
            </w:r>
          </w:p>
        </w:tc>
        <w:tc>
          <w:tcPr>
            <w:tcW w:w="4678" w:type="dxa"/>
            <w:vAlign w:val="center"/>
          </w:tcPr>
          <w:p w14:paraId="5190ABE9" w14:textId="14564333" w:rsidR="00284E95" w:rsidRPr="00ED4FF1" w:rsidRDefault="003B21E7" w:rsidP="00EE3CEA">
            <w:pPr>
              <w:spacing w:line="240" w:lineRule="auto"/>
              <w:jc w:val="center"/>
              <w:rPr>
                <w:rFonts w:cstheme="minorHAnsi"/>
              </w:rPr>
            </w:pPr>
            <w:bookmarkStart w:id="1" w:name="_GoBack"/>
            <w:r>
              <w:rPr>
                <w:rFonts w:cstheme="minorHAnsi"/>
              </w:rPr>
              <w:t>Cabinet</w:t>
            </w:r>
            <w:bookmarkEnd w:id="1"/>
          </w:p>
        </w:tc>
        <w:tc>
          <w:tcPr>
            <w:tcW w:w="2551" w:type="dxa"/>
            <w:vAlign w:val="center"/>
          </w:tcPr>
          <w:p w14:paraId="5190ABEA" w14:textId="1E09A0AF" w:rsidR="00284E95" w:rsidRPr="00ED4FF1" w:rsidRDefault="00EE3CEA" w:rsidP="00BF1C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MeetingDate  \* MERGEFORMAT </w:instrText>
            </w:r>
            <w:r>
              <w:rPr>
                <w:rFonts w:cstheme="minorHAnsi"/>
              </w:rPr>
              <w:fldChar w:fldCharType="separate"/>
            </w:r>
            <w:r w:rsidR="003B21E7">
              <w:rPr>
                <w:rFonts w:cstheme="minorHAnsi"/>
              </w:rPr>
              <w:t>Wednesday</w:t>
            </w:r>
            <w:r>
              <w:rPr>
                <w:rFonts w:cstheme="minorHAnsi"/>
              </w:rPr>
              <w:t xml:space="preserve">, </w:t>
            </w:r>
            <w:r w:rsidR="003B21E7">
              <w:rPr>
                <w:rFonts w:cstheme="minorHAnsi"/>
              </w:rPr>
              <w:t>17</w:t>
            </w:r>
            <w:r>
              <w:rPr>
                <w:rFonts w:cstheme="minorHAnsi"/>
              </w:rPr>
              <w:t xml:space="preserve"> November 2021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190ABEC" w14:textId="77777777" w:rsidR="00CF42B2" w:rsidRDefault="00EE3CEA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90AC35" wp14:editId="5190AC36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69787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center" w:tblpY="6510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FA4A6F" w14:paraId="5190ABF0" w14:textId="77777777" w:rsidTr="00BF1CCE">
        <w:tc>
          <w:tcPr>
            <w:tcW w:w="5382" w:type="dxa"/>
            <w:shd w:val="clear" w:color="auto" w:fill="auto"/>
          </w:tcPr>
          <w:p w14:paraId="5190ABED" w14:textId="77777777" w:rsidR="00284E95" w:rsidRPr="00D1305C" w:rsidRDefault="00EE3CEA" w:rsidP="003E7A51">
            <w:pPr>
              <w:spacing w:before="24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5190ABEE" w14:textId="77777777" w:rsidR="009376F7" w:rsidRPr="00284E95" w:rsidRDefault="00EE3CEA" w:rsidP="003E7A51">
            <w:pPr>
              <w:spacing w:before="240"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Yes</w:t>
            </w:r>
          </w:p>
          <w:p w14:paraId="5190ABEF" w14:textId="77777777" w:rsidR="00284E95" w:rsidRPr="00284E95" w:rsidRDefault="00EE3CEA" w:rsidP="00BF1CCE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14:paraId="5190ABF1" w14:textId="77777777" w:rsidR="00284E95" w:rsidRDefault="00EE3CEA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pPr w:leftFromText="181" w:rightFromText="181" w:vertAnchor="page" w:horzAnchor="margin" w:tblpXSpec="center" w:tblpY="7593"/>
        <w:tblOverlap w:val="never"/>
        <w:tblW w:w="10070" w:type="dxa"/>
        <w:tblLook w:val="04A0" w:firstRow="1" w:lastRow="0" w:firstColumn="1" w:lastColumn="0" w:noHBand="0" w:noVBand="1"/>
      </w:tblPr>
      <w:tblGrid>
        <w:gridCol w:w="5392"/>
        <w:gridCol w:w="4678"/>
      </w:tblGrid>
      <w:tr w:rsidR="00FA4A6F" w14:paraId="5190ABF4" w14:textId="77777777" w:rsidTr="00BF1CCE">
        <w:tc>
          <w:tcPr>
            <w:tcW w:w="5392" w:type="dxa"/>
            <w:vAlign w:val="center"/>
          </w:tcPr>
          <w:p w14:paraId="5190ABF2" w14:textId="77777777" w:rsidR="00AD15F7" w:rsidRDefault="00EE3CEA" w:rsidP="00BF1CCE">
            <w:pPr>
              <w:spacing w:before="120" w:after="120"/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Savings or expenditure amounting to greater than 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£100,000</w:t>
            </w:r>
          </w:p>
        </w:tc>
        <w:tc>
          <w:tcPr>
            <w:tcW w:w="4678" w:type="dxa"/>
            <w:vAlign w:val="center"/>
          </w:tcPr>
          <w:p w14:paraId="5190ABF3" w14:textId="77777777" w:rsidR="00AD15F7" w:rsidRPr="009376F7" w:rsidRDefault="00EE3CEA" w:rsidP="00BF1CCE">
            <w:pPr>
              <w:spacing w:before="120" w:after="120"/>
              <w:rPr>
                <w:b/>
              </w:rPr>
            </w:pPr>
            <w:r w:rsidRPr="009376F7">
              <w:rPr>
                <w:rFonts w:eastAsia="Times New Roman" w:cstheme="minorHAnsi"/>
                <w:b/>
                <w:color w:val="000000" w:themeColor="text1"/>
                <w:kern w:val="36"/>
                <w:lang w:eastAsia="en-GB"/>
              </w:rPr>
              <w:t>Significant impact on 2 or more council wards</w:t>
            </w:r>
          </w:p>
        </w:tc>
      </w:tr>
    </w:tbl>
    <w:p w14:paraId="5190ABF5" w14:textId="77777777" w:rsidR="00BF1CCE" w:rsidRDefault="00EE3CEA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190ABF6" w14:textId="77777777" w:rsidR="009376F7" w:rsidRDefault="00EE3CEA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190ABF7" w14:textId="77777777" w:rsidR="00AD15F7" w:rsidRPr="00BF1CCE" w:rsidRDefault="00EE3CEA" w:rsidP="002A4A7D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Infrastructure Funding Statement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5190ABF8" w14:textId="77777777" w:rsidR="000179AF" w:rsidRPr="00ED4FF1" w:rsidRDefault="00EE3CEA" w:rsidP="000179AF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14:paraId="5190ABF9" w14:textId="77777777" w:rsidR="000179AF" w:rsidRPr="0028516A" w:rsidRDefault="00EE3CEA" w:rsidP="003C5635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</w:rPr>
      </w:pPr>
      <w:r w:rsidRPr="0028516A">
        <w:rPr>
          <w:rFonts w:cstheme="minorHAnsi"/>
          <w:bCs/>
          <w:iCs/>
        </w:rPr>
        <w:t xml:space="preserve">The approval of the infrastructure funding statement and its publication onto our Council website. This is to replace the </w:t>
      </w:r>
      <w:r>
        <w:rPr>
          <w:rFonts w:cstheme="minorHAnsi"/>
          <w:bCs/>
          <w:iCs/>
        </w:rPr>
        <w:t>previous</w:t>
      </w:r>
      <w:r w:rsidRPr="0028516A">
        <w:rPr>
          <w:rFonts w:cstheme="minorHAnsi"/>
          <w:bCs/>
          <w:iCs/>
        </w:rPr>
        <w:t xml:space="preserve"> regulation 123 list that has been in place since the adoption of Community infrastructure Levy (CIL) in July 2013.</w:t>
      </w:r>
    </w:p>
    <w:p w14:paraId="5190ABFA" w14:textId="77777777" w:rsidR="002A4A7D" w:rsidRPr="00ED4FF1" w:rsidRDefault="00EE3CEA" w:rsidP="003C5635">
      <w:pPr>
        <w:pStyle w:val="Heading2"/>
        <w:spacing w:before="0" w:beforeAutospacing="0"/>
        <w:jc w:val="both"/>
        <w:rPr>
          <w:rFonts w:asciiTheme="majorHAnsi" w:hAnsiTheme="majorHAnsi" w:cstheme="majorHAnsi"/>
          <w:sz w:val="22"/>
        </w:rPr>
      </w:pPr>
      <w:r w:rsidRPr="00ED4FF1">
        <w:rPr>
          <w:rFonts w:asciiTheme="majorHAnsi" w:hAnsiTheme="majorHAnsi" w:cstheme="majorHAnsi"/>
          <w:sz w:val="22"/>
        </w:rPr>
        <w:t>Recommenda</w:t>
      </w:r>
      <w:r w:rsidRPr="00ED4FF1">
        <w:rPr>
          <w:rFonts w:asciiTheme="majorHAnsi" w:hAnsiTheme="majorHAnsi" w:cstheme="majorHAnsi"/>
          <w:sz w:val="22"/>
        </w:rPr>
        <w:t>tions</w:t>
      </w:r>
      <w:r>
        <w:rPr>
          <w:rFonts w:asciiTheme="majorHAnsi" w:hAnsiTheme="majorHAnsi" w:cstheme="majorHAnsi"/>
          <w:sz w:val="22"/>
        </w:rPr>
        <w:t xml:space="preserve"> to Cabinet </w:t>
      </w:r>
    </w:p>
    <w:p w14:paraId="5190ABFB" w14:textId="77777777" w:rsidR="000179AF" w:rsidRPr="0028516A" w:rsidRDefault="00EE3CEA" w:rsidP="003C5635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</w:rPr>
      </w:pPr>
      <w:bookmarkStart w:id="2" w:name="_Hlk86074365"/>
      <w:r w:rsidRPr="0028516A">
        <w:rPr>
          <w:rFonts w:cstheme="minorHAnsi"/>
          <w:bCs/>
          <w:iCs/>
        </w:rPr>
        <w:t xml:space="preserve">Approval of the infrastructure funding statement to </w:t>
      </w:r>
      <w:r>
        <w:rPr>
          <w:rFonts w:cstheme="minorHAnsi"/>
          <w:bCs/>
          <w:iCs/>
        </w:rPr>
        <w:t xml:space="preserve">be </w:t>
      </w:r>
      <w:r w:rsidRPr="0028516A">
        <w:rPr>
          <w:rFonts w:cstheme="minorHAnsi"/>
          <w:bCs/>
          <w:iCs/>
        </w:rPr>
        <w:t>display</w:t>
      </w:r>
      <w:r>
        <w:rPr>
          <w:rFonts w:cstheme="minorHAnsi"/>
          <w:bCs/>
          <w:iCs/>
        </w:rPr>
        <w:t>ed</w:t>
      </w:r>
      <w:r w:rsidRPr="0028516A">
        <w:rPr>
          <w:rFonts w:cstheme="minorHAnsi"/>
          <w:bCs/>
          <w:iCs/>
        </w:rPr>
        <w:t xml:space="preserve"> on the Council website for the next year.</w:t>
      </w:r>
    </w:p>
    <w:bookmarkEnd w:id="2"/>
    <w:p w14:paraId="5190ABFC" w14:textId="77777777" w:rsidR="000179AF" w:rsidRPr="00ED4FF1" w:rsidRDefault="00EE3CEA" w:rsidP="003C5635">
      <w:pPr>
        <w:pStyle w:val="Heading2"/>
        <w:spacing w:before="0" w:beforeAutospacing="0" w:after="240" w:afterAutospacing="0"/>
        <w:jc w:val="both"/>
        <w:rPr>
          <w:rFonts w:asciiTheme="majorHAnsi" w:hAnsiTheme="majorHAnsi" w:cstheme="majorHAnsi"/>
          <w:sz w:val="12"/>
          <w:szCs w:val="14"/>
        </w:rPr>
      </w:pPr>
      <w:r w:rsidRPr="00ED4FF1">
        <w:rPr>
          <w:rFonts w:asciiTheme="majorHAnsi" w:hAnsiTheme="majorHAnsi" w:cstheme="majorHAnsi"/>
          <w:sz w:val="22"/>
          <w:szCs w:val="22"/>
        </w:rPr>
        <w:t>Reasons for recommendations</w:t>
      </w:r>
    </w:p>
    <w:p w14:paraId="5190ABFD" w14:textId="77777777" w:rsidR="000179AF" w:rsidRPr="0028516A" w:rsidRDefault="00EE3CEA" w:rsidP="003C56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28516A">
        <w:rPr>
          <w:rFonts w:cstheme="minorHAnsi"/>
          <w:bCs/>
        </w:rPr>
        <w:t xml:space="preserve"> </w:t>
      </w:r>
      <w:r w:rsidRPr="0028516A">
        <w:rPr>
          <w:rFonts w:cstheme="minorHAnsi"/>
          <w:bCs/>
          <w:iCs/>
        </w:rPr>
        <w:t>The infrastructure funding statement is a requirement of the CIL Regulations 2010 (as amended) Regulat</w:t>
      </w:r>
      <w:r w:rsidRPr="0028516A">
        <w:rPr>
          <w:rFonts w:cstheme="minorHAnsi"/>
          <w:bCs/>
          <w:iCs/>
        </w:rPr>
        <w:t>ion 121A. It is a requirement to publish an infrastructure funding statement annually by 31st December.</w:t>
      </w:r>
    </w:p>
    <w:p w14:paraId="5190ABFE" w14:textId="77777777" w:rsidR="0028516A" w:rsidRPr="0028516A" w:rsidRDefault="00EE3CEA" w:rsidP="003C5635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14:paraId="5190ABFF" w14:textId="77777777" w:rsidR="000179AF" w:rsidRPr="00ED4FF1" w:rsidRDefault="00EE3CEA" w:rsidP="003C5635">
      <w:pPr>
        <w:pStyle w:val="Heading2"/>
        <w:spacing w:before="0" w:beforeAutospacing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Other options considered and rejected</w:t>
      </w:r>
    </w:p>
    <w:p w14:paraId="5190AC00" w14:textId="77777777" w:rsidR="0028516A" w:rsidRPr="0028516A" w:rsidRDefault="00EE3CEA" w:rsidP="003C5635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</w:rPr>
      </w:pPr>
      <w:r w:rsidRPr="0028516A">
        <w:rPr>
          <w:rFonts w:cstheme="minorHAnsi"/>
          <w:bCs/>
          <w:iCs/>
        </w:rPr>
        <w:t xml:space="preserve">No alternatives were considered as this is a requirement of CIL Regulations 2010 (as amended) </w:t>
      </w:r>
      <w:r w:rsidRPr="0028516A">
        <w:rPr>
          <w:rFonts w:cstheme="minorHAnsi"/>
          <w:bCs/>
          <w:iCs/>
        </w:rPr>
        <w:t>Regulation 121A.</w:t>
      </w:r>
    </w:p>
    <w:p w14:paraId="5190AC01" w14:textId="77777777" w:rsidR="00560277" w:rsidRDefault="00EE3CEA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</w:p>
    <w:p w14:paraId="5190AC02" w14:textId="77777777" w:rsidR="000179AF" w:rsidRPr="00ED4FF1" w:rsidRDefault="00EE3CEA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lastRenderedPageBreak/>
        <w:t>Corporate priorities</w:t>
      </w:r>
    </w:p>
    <w:p w14:paraId="5190AC03" w14:textId="77777777" w:rsidR="000179AF" w:rsidRDefault="00EE3CEA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</w:p>
    <w:p w14:paraId="5190AC04" w14:textId="77777777" w:rsidR="002A4A7D" w:rsidRPr="006149F1" w:rsidRDefault="00EE3CEA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FA4A6F" w14:paraId="5190AC07" w14:textId="77777777" w:rsidTr="00BF1CCE">
        <w:tc>
          <w:tcPr>
            <w:tcW w:w="4848" w:type="dxa"/>
            <w:shd w:val="clear" w:color="auto" w:fill="auto"/>
            <w:vAlign w:val="center"/>
          </w:tcPr>
          <w:p w14:paraId="5190AC05" w14:textId="77777777" w:rsidR="001073DC" w:rsidRPr="009376F7" w:rsidRDefault="00EE3CEA" w:rsidP="00BF1CC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76F7">
              <w:rPr>
                <w:rFonts w:cstheme="minorHAnsi"/>
                <w:b/>
              </w:rPr>
              <w:t>An exemplary council</w:t>
            </w:r>
          </w:p>
        </w:tc>
        <w:tc>
          <w:tcPr>
            <w:tcW w:w="4678" w:type="dxa"/>
            <w:vAlign w:val="center"/>
          </w:tcPr>
          <w:p w14:paraId="5190AC06" w14:textId="77777777" w:rsidR="001073DC" w:rsidRPr="009376F7" w:rsidRDefault="00EE3CEA" w:rsidP="00BF1CC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76F7">
              <w:rPr>
                <w:rFonts w:cstheme="minorHAnsi"/>
                <w:b/>
              </w:rPr>
              <w:t>Thriving communities</w:t>
            </w:r>
          </w:p>
        </w:tc>
      </w:tr>
      <w:tr w:rsidR="00FA4A6F" w14:paraId="5190AC0A" w14:textId="77777777" w:rsidTr="00BF1CCE">
        <w:tc>
          <w:tcPr>
            <w:tcW w:w="4848" w:type="dxa"/>
            <w:shd w:val="clear" w:color="auto" w:fill="auto"/>
            <w:vAlign w:val="center"/>
          </w:tcPr>
          <w:p w14:paraId="5190AC08" w14:textId="77777777" w:rsidR="001073DC" w:rsidRPr="009376F7" w:rsidRDefault="00EE3CEA" w:rsidP="00BF1CC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76F7">
              <w:rPr>
                <w:rFonts w:cstheme="minorHAnsi"/>
                <w:b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14:paraId="5190AC09" w14:textId="77777777" w:rsidR="001073DC" w:rsidRPr="009376F7" w:rsidRDefault="00EE3CEA" w:rsidP="00BF1CC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76F7">
              <w:rPr>
                <w:rFonts w:cstheme="minorHAnsi"/>
                <w:b/>
              </w:rPr>
              <w:t>Good homes, green spaces, healthy places</w:t>
            </w:r>
          </w:p>
        </w:tc>
      </w:tr>
    </w:tbl>
    <w:p w14:paraId="5190AC0B" w14:textId="77777777" w:rsidR="00560277" w:rsidRDefault="00EE3CEA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</w:p>
    <w:p w14:paraId="5190AC0C" w14:textId="77777777" w:rsidR="000179AF" w:rsidRPr="00ED4FF1" w:rsidRDefault="00EE3CEA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Background to the report</w:t>
      </w:r>
    </w:p>
    <w:p w14:paraId="5190AC0D" w14:textId="77777777" w:rsidR="00995DDF" w:rsidRDefault="00EE3CEA" w:rsidP="003C5635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Previously t</w:t>
      </w:r>
      <w:r w:rsidRPr="00995DDF">
        <w:rPr>
          <w:rFonts w:cstheme="minorHAnsi"/>
          <w:bCs/>
          <w:iCs/>
        </w:rPr>
        <w:t>he Regulation 123 List was a requirement in the CIL Regulations whereby a Charging Authority was required to display a list of projects that would be either funded in part or wholly by CIL. The list we have been using w</w:t>
      </w:r>
      <w:r w:rsidRPr="00995DDF">
        <w:rPr>
          <w:rFonts w:cstheme="minorHAnsi"/>
          <w:bCs/>
          <w:iCs/>
        </w:rPr>
        <w:t>as compiled at the CIL Examination in 2012 to demonstrate a clear short fall in funding for these projects needed to support delivery of the Core Strategy development.</w:t>
      </w:r>
    </w:p>
    <w:p w14:paraId="5190AC0E" w14:textId="77777777" w:rsidR="00995DDF" w:rsidRDefault="00EE3CEA" w:rsidP="003C5635">
      <w:pPr>
        <w:pStyle w:val="ListParagraph"/>
        <w:ind w:left="360"/>
        <w:jc w:val="both"/>
        <w:rPr>
          <w:rFonts w:cstheme="minorHAnsi"/>
          <w:bCs/>
          <w:iCs/>
        </w:rPr>
      </w:pPr>
    </w:p>
    <w:p w14:paraId="5190AC0F" w14:textId="77777777" w:rsidR="00995DDF" w:rsidRPr="00995DDF" w:rsidRDefault="00EE3CEA" w:rsidP="003C5635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</w:rPr>
      </w:pPr>
      <w:r w:rsidRPr="00995DDF">
        <w:rPr>
          <w:rFonts w:cstheme="minorHAnsi"/>
          <w:bCs/>
          <w:iCs/>
        </w:rPr>
        <w:t>The CIL regulation 123 list has been applicable since 2013, however, the legislation ch</w:t>
      </w:r>
      <w:r w:rsidRPr="00995DDF">
        <w:rPr>
          <w:rFonts w:cstheme="minorHAnsi"/>
          <w:bCs/>
          <w:iCs/>
        </w:rPr>
        <w:t xml:space="preserve">anged in September 2019 which now requires us to prepare an infrastructure funding statement per the CIL Regulations 2010 (as amended) Regulation 121A. </w:t>
      </w:r>
    </w:p>
    <w:p w14:paraId="5190AC10" w14:textId="77777777" w:rsidR="00995DDF" w:rsidRDefault="00EE3CEA" w:rsidP="003C5635">
      <w:pPr>
        <w:pStyle w:val="ListParagraph"/>
        <w:ind w:left="360"/>
        <w:jc w:val="both"/>
        <w:rPr>
          <w:rFonts w:cstheme="minorHAnsi"/>
          <w:bCs/>
          <w:iCs/>
        </w:rPr>
      </w:pPr>
    </w:p>
    <w:p w14:paraId="5190AC11" w14:textId="77777777" w:rsidR="00995DDF" w:rsidRDefault="00EE3CEA" w:rsidP="003C5635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</w:rPr>
      </w:pPr>
      <w:r w:rsidRPr="00565175">
        <w:rPr>
          <w:rFonts w:cstheme="minorHAnsi"/>
          <w:bCs/>
          <w:iCs/>
        </w:rPr>
        <w:t>Th</w:t>
      </w:r>
      <w:r>
        <w:rPr>
          <w:rFonts w:cstheme="minorHAnsi"/>
          <w:bCs/>
          <w:iCs/>
        </w:rPr>
        <w:t xml:space="preserve">e infrastructure funding statement </w:t>
      </w:r>
      <w:r w:rsidRPr="00565175">
        <w:rPr>
          <w:rFonts w:cstheme="minorHAnsi"/>
          <w:bCs/>
          <w:iCs/>
        </w:rPr>
        <w:t>is a summary of developer contribution receipts, allocations, exp</w:t>
      </w:r>
      <w:r w:rsidRPr="00565175">
        <w:rPr>
          <w:rFonts w:cstheme="minorHAnsi"/>
          <w:bCs/>
          <w:iCs/>
        </w:rPr>
        <w:t>enditure and any unspent or unallocated receipts collected from section 106 agreements and community infrastructure levy (CIL) within the financial year 2020/21</w:t>
      </w:r>
      <w:r>
        <w:rPr>
          <w:rFonts w:cstheme="minorHAnsi"/>
          <w:bCs/>
          <w:iCs/>
        </w:rPr>
        <w:t>.</w:t>
      </w:r>
    </w:p>
    <w:p w14:paraId="5190AC12" w14:textId="77777777" w:rsidR="00995DDF" w:rsidRPr="00995DDF" w:rsidRDefault="00EE3CEA" w:rsidP="003C5635">
      <w:pPr>
        <w:pStyle w:val="ListParagraph"/>
        <w:ind w:left="360"/>
        <w:jc w:val="both"/>
        <w:rPr>
          <w:rFonts w:cstheme="minorHAnsi"/>
          <w:bCs/>
          <w:iCs/>
        </w:rPr>
      </w:pPr>
    </w:p>
    <w:p w14:paraId="5190AC13" w14:textId="77777777" w:rsidR="00995DDF" w:rsidRDefault="00EE3CEA" w:rsidP="003C5635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</w:rPr>
      </w:pPr>
      <w:r w:rsidRPr="00995DDF">
        <w:rPr>
          <w:rFonts w:cstheme="minorHAnsi"/>
          <w:bCs/>
          <w:iCs/>
        </w:rPr>
        <w:t>Those projects that were on the regulation 123 list that have not yet come forward are now in</w:t>
      </w:r>
      <w:r w:rsidRPr="00995DDF">
        <w:rPr>
          <w:rFonts w:cstheme="minorHAnsi"/>
          <w:bCs/>
          <w:iCs/>
        </w:rPr>
        <w:t>cluded in the infrastructure funding statement.</w:t>
      </w:r>
    </w:p>
    <w:p w14:paraId="5190AC14" w14:textId="77777777" w:rsidR="00995DDF" w:rsidRPr="00995DDF" w:rsidRDefault="00EE3CEA" w:rsidP="003C5635">
      <w:pPr>
        <w:pStyle w:val="ListParagraph"/>
        <w:ind w:left="360"/>
        <w:jc w:val="both"/>
        <w:rPr>
          <w:rFonts w:cstheme="minorHAnsi"/>
          <w:bCs/>
          <w:iCs/>
        </w:rPr>
      </w:pPr>
    </w:p>
    <w:p w14:paraId="5190AC15" w14:textId="77777777" w:rsidR="00995DDF" w:rsidRPr="00995DDF" w:rsidRDefault="00EE3CEA" w:rsidP="003C5635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</w:rPr>
      </w:pPr>
      <w:r w:rsidRPr="00995DDF">
        <w:rPr>
          <w:rFonts w:cstheme="minorHAnsi"/>
          <w:bCs/>
          <w:iCs/>
        </w:rPr>
        <w:t>These projects in the whole were the projects required to assist in delivering the amount and distribution of development envisaged in the core strategy.</w:t>
      </w:r>
    </w:p>
    <w:p w14:paraId="5190AC16" w14:textId="77777777" w:rsidR="00284E95" w:rsidRDefault="00EE3CEA" w:rsidP="00284E95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Climate change and air quality</w:t>
      </w:r>
    </w:p>
    <w:p w14:paraId="5190AC17" w14:textId="77777777" w:rsidR="004758E2" w:rsidRPr="00E06F2E" w:rsidRDefault="00EE3CEA" w:rsidP="003C5635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lang w:eastAsia="en-GB"/>
        </w:rPr>
      </w:pPr>
      <w:r w:rsidRPr="00E06F2E">
        <w:t>The work noted in this report does not impact the climate change and sustainability targets of the Councils Green Agenda and all environmental considerations are in place.</w:t>
      </w:r>
    </w:p>
    <w:p w14:paraId="5190AC18" w14:textId="77777777" w:rsidR="00560277" w:rsidRDefault="00EE3CEA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bookmarkStart w:id="3" w:name="_Hlk85816516"/>
    </w:p>
    <w:p w14:paraId="5190AC19" w14:textId="77777777" w:rsidR="000179AF" w:rsidRPr="00ED4FF1" w:rsidRDefault="00EE3CEA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bookmarkEnd w:id="3"/>
    <w:p w14:paraId="5190AC1A" w14:textId="77777777" w:rsidR="000179AF" w:rsidRDefault="00EE3CEA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Not applicable.</w:t>
      </w:r>
    </w:p>
    <w:p w14:paraId="5190AC1B" w14:textId="77777777" w:rsidR="004758E2" w:rsidRDefault="00EE3CEA" w:rsidP="004758E2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p w14:paraId="5190AC1C" w14:textId="77777777" w:rsidR="00995DDF" w:rsidRPr="00BC2040" w:rsidRDefault="00EE3CEA" w:rsidP="003B21E7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BC2040">
        <w:rPr>
          <w:rFonts w:asciiTheme="majorHAnsi" w:eastAsia="Times New Roman" w:hAnsiTheme="majorHAnsi" w:cstheme="majorHAnsi"/>
          <w:lang w:eastAsia="en-GB"/>
        </w:rPr>
        <w:t>To not display the infrastructure fundi</w:t>
      </w:r>
      <w:r w:rsidRPr="00BC2040">
        <w:rPr>
          <w:rFonts w:asciiTheme="majorHAnsi" w:eastAsia="Times New Roman" w:hAnsiTheme="majorHAnsi" w:cstheme="majorHAnsi"/>
          <w:lang w:eastAsia="en-GB"/>
        </w:rPr>
        <w:t xml:space="preserve">ng statement would mean not complying with the CIL Regulations 2010 (as amended) Regulation 121A.  </w:t>
      </w:r>
    </w:p>
    <w:p w14:paraId="5190AC1D" w14:textId="77777777" w:rsidR="000179AF" w:rsidRPr="00ED4FF1" w:rsidRDefault="00EE3CEA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14:paraId="5190AC1E" w14:textId="3EA79BAD" w:rsidR="000179AF" w:rsidRDefault="00EE3CEA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figures in the </w:t>
      </w:r>
      <w:r>
        <w:rPr>
          <w:rFonts w:cstheme="minorHAnsi"/>
          <w:bCs/>
          <w:iCs/>
        </w:rPr>
        <w:t>infrastructure spending statement have been reviewed and are consistent with the reporting requirements.</w:t>
      </w:r>
    </w:p>
    <w:p w14:paraId="5190AC1F" w14:textId="77777777" w:rsidR="00CC237E" w:rsidRPr="00883AC9" w:rsidRDefault="00EE3CEA" w:rsidP="003B21E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5190AC20" w14:textId="77777777" w:rsidR="000179AF" w:rsidRPr="00ED4FF1" w:rsidRDefault="00EE3CEA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lastRenderedPageBreak/>
        <w:t xml:space="preserve">Comments of the </w:t>
      </w:r>
      <w:r w:rsidRPr="00ED4FF1">
        <w:rPr>
          <w:rFonts w:asciiTheme="majorHAnsi" w:hAnsiTheme="majorHAnsi" w:cstheme="majorHAnsi"/>
          <w:sz w:val="22"/>
          <w:szCs w:val="22"/>
        </w:rPr>
        <w:t>Monitoring Officer</w:t>
      </w:r>
    </w:p>
    <w:p w14:paraId="5190AC21" w14:textId="478D97E9" w:rsidR="000179AF" w:rsidRPr="00883AC9" w:rsidRDefault="00EE3CEA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83AC9">
        <w:rPr>
          <w:rFonts w:cstheme="minorHAnsi"/>
          <w:bCs/>
          <w:iCs/>
        </w:rPr>
        <w:t>Th</w:t>
      </w:r>
      <w:r>
        <w:rPr>
          <w:rFonts w:cstheme="minorHAnsi"/>
          <w:bCs/>
          <w:iCs/>
        </w:rPr>
        <w:t>ere are no issues to raise from a legal perspective. What is proposed here is designed to comply with our legal obligations.</w:t>
      </w:r>
    </w:p>
    <w:p w14:paraId="5190AC22" w14:textId="77777777" w:rsidR="000179AF" w:rsidRPr="00D1305C" w:rsidRDefault="00EE3CEA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5190AC23" w14:textId="77777777" w:rsidR="000179AF" w:rsidRDefault="00EE3CEA" w:rsidP="000179AF">
      <w:pPr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</w:pPr>
      <w:r w:rsidRPr="00ED4FF1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ED4FF1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5190AC24" w14:textId="77777777" w:rsidR="002A617C" w:rsidRPr="002A617C" w:rsidRDefault="00EE3CEA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hyperlink r:id="rId9" w:history="1">
        <w:r w:rsidRPr="002A617C">
          <w:rPr>
            <w:rStyle w:val="Hyperlink"/>
            <w:rFonts w:eastAsia="Times New Roman" w:cstheme="minorHAnsi"/>
            <w:bCs/>
            <w:kern w:val="36"/>
            <w:lang w:eastAsia="en-GB"/>
          </w:rPr>
          <w:t>16 December 2020 Cabinet Report - Infrastructure Funding Statement</w:t>
        </w:r>
      </w:hyperlink>
    </w:p>
    <w:p w14:paraId="5190AC25" w14:textId="77777777" w:rsidR="00DA6615" w:rsidRDefault="00EE3CEA" w:rsidP="00DA6615">
      <w:pPr>
        <w:pStyle w:val="Heading2"/>
        <w:spacing w:before="0" w:beforeAutospacing="0"/>
      </w:pPr>
      <w:hyperlink r:id="rId10" w:history="1">
        <w:r w:rsidRPr="002A617C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2019/20 Infrastructure Funding St</w:t>
        </w:r>
        <w:r w:rsidRPr="002A617C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atement</w:t>
        </w:r>
      </w:hyperlink>
    </w:p>
    <w:p w14:paraId="5190AC26" w14:textId="77777777" w:rsidR="00E47C10" w:rsidRPr="002A617C" w:rsidRDefault="00EE3CEA" w:rsidP="00E47C10">
      <w:pPr>
        <w:pStyle w:val="Heading2"/>
        <w:spacing w:before="0" w:beforeAutospacing="0"/>
        <w:rPr>
          <w:rFonts w:asciiTheme="majorHAnsi" w:hAnsiTheme="majorHAnsi" w:cstheme="majorHAnsi"/>
          <w:b w:val="0"/>
          <w:sz w:val="22"/>
          <w:szCs w:val="22"/>
        </w:rPr>
      </w:pPr>
      <w:hyperlink r:id="rId11" w:history="1">
        <w:r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Regulation 123 List</w:t>
        </w:r>
      </w:hyperlink>
    </w:p>
    <w:p w14:paraId="5190AC27" w14:textId="77777777" w:rsidR="000179AF" w:rsidRPr="00ED4FF1" w:rsidRDefault="00EE3CEA" w:rsidP="00ED4FF1">
      <w:pPr>
        <w:pStyle w:val="Heading2"/>
        <w:spacing w:before="0" w:beforeAutospacing="0"/>
        <w:rPr>
          <w:rFonts w:asciiTheme="majorHAnsi" w:hAnsiTheme="majorHAnsi" w:cstheme="majorHAnsi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Appendices </w:t>
      </w:r>
    </w:p>
    <w:p w14:paraId="5190AC28" w14:textId="77777777" w:rsidR="00DA6615" w:rsidRPr="00883AC9" w:rsidRDefault="00EE3CEA" w:rsidP="00DA6615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1 – South Ribble Borough Council </w:t>
      </w:r>
      <w:r w:rsidRPr="00DC4E5C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Infrastructure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F</w:t>
      </w:r>
      <w:r w:rsidRPr="00DC4E5C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unding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S</w:t>
      </w:r>
      <w:r w:rsidRPr="00DC4E5C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tatement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202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0/21</w:t>
      </w:r>
    </w:p>
    <w:p w14:paraId="5190AC29" w14:textId="77777777" w:rsidR="00D4431F" w:rsidRPr="00D4431F" w:rsidRDefault="00EE3CEA" w:rsidP="00D4431F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797"/>
        <w:gridCol w:w="1520"/>
        <w:gridCol w:w="1183"/>
      </w:tblGrid>
      <w:tr w:rsidR="00FA4A6F" w14:paraId="5190AC2E" w14:textId="77777777" w:rsidTr="008E66FA">
        <w:tc>
          <w:tcPr>
            <w:tcW w:w="3856" w:type="dxa"/>
            <w:shd w:val="clear" w:color="auto" w:fill="auto"/>
          </w:tcPr>
          <w:p w14:paraId="5190AC2A" w14:textId="77777777" w:rsidR="00D4431F" w:rsidRPr="00D4431F" w:rsidRDefault="00EE3CE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835" w:type="dxa"/>
          </w:tcPr>
          <w:p w14:paraId="5190AC2B" w14:textId="77777777" w:rsidR="00D4431F" w:rsidRPr="00D4431F" w:rsidRDefault="00EE3CE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14:paraId="5190AC2C" w14:textId="77777777" w:rsidR="00D4431F" w:rsidRPr="00D4431F" w:rsidRDefault="00EE3CE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14:paraId="5190AC2D" w14:textId="77777777" w:rsidR="00D4431F" w:rsidRPr="00D4431F" w:rsidRDefault="00EE3CE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FA4A6F" w14:paraId="5190AC33" w14:textId="77777777" w:rsidTr="008E66FA">
        <w:tc>
          <w:tcPr>
            <w:tcW w:w="3856" w:type="dxa"/>
            <w:shd w:val="clear" w:color="auto" w:fill="auto"/>
          </w:tcPr>
          <w:p w14:paraId="5190AC2F" w14:textId="77777777" w:rsidR="00D4431F" w:rsidRPr="00D4431F" w:rsidRDefault="00EE3CE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Shannon Hill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CIL and S106 Officer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2835" w:type="dxa"/>
          </w:tcPr>
          <w:p w14:paraId="5190AC30" w14:textId="77777777" w:rsidR="00D4431F" w:rsidRPr="00D4431F" w:rsidRDefault="00EE3CE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shill@southribble.gov.uk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190AC31" w14:textId="77777777" w:rsidR="00D4431F" w:rsidRPr="00D4431F" w:rsidRDefault="00EE3CE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62xxxx</w:t>
            </w:r>
          </w:p>
        </w:tc>
        <w:tc>
          <w:tcPr>
            <w:tcW w:w="1269" w:type="dxa"/>
            <w:shd w:val="clear" w:color="auto" w:fill="auto"/>
          </w:tcPr>
          <w:p w14:paraId="5190AC32" w14:textId="77777777" w:rsidR="00D4431F" w:rsidRPr="00D4431F" w:rsidRDefault="00EE3CE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190AC34" w14:textId="77777777" w:rsidR="0025620C" w:rsidRPr="005C459D" w:rsidRDefault="00EE3CEA">
      <w:pPr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AC3D" w14:textId="77777777" w:rsidR="00000000" w:rsidRDefault="00EE3CEA">
      <w:pPr>
        <w:spacing w:after="0" w:line="240" w:lineRule="auto"/>
      </w:pPr>
      <w:r>
        <w:separator/>
      </w:r>
    </w:p>
  </w:endnote>
  <w:endnote w:type="continuationSeparator" w:id="0">
    <w:p w14:paraId="5190AC3F" w14:textId="77777777" w:rsidR="00000000" w:rsidRDefault="00EE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AC39" w14:textId="77777777" w:rsidR="00000000" w:rsidRDefault="00EE3CEA">
      <w:pPr>
        <w:spacing w:after="0" w:line="240" w:lineRule="auto"/>
      </w:pPr>
      <w:r>
        <w:separator/>
      </w:r>
    </w:p>
  </w:footnote>
  <w:footnote w:type="continuationSeparator" w:id="0">
    <w:p w14:paraId="5190AC3B" w14:textId="77777777" w:rsidR="00000000" w:rsidRDefault="00EE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AC37" w14:textId="77777777" w:rsidR="00CF42B2" w:rsidRDefault="00EE3CEA">
    <w:pPr>
      <w:pStyle w:val="Header"/>
    </w:pPr>
  </w:p>
  <w:p w14:paraId="5190AC38" w14:textId="77777777" w:rsidR="00CF42B2" w:rsidRDefault="00EE3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B4B"/>
    <w:multiLevelType w:val="hybridMultilevel"/>
    <w:tmpl w:val="27D0AF2A"/>
    <w:lvl w:ilvl="0" w:tplc="D63AFF6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FD2F36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6FCA88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5A0A0B2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55F6353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AE4CD1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9F3891F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AE081BE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844B7E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B0324D4"/>
    <w:multiLevelType w:val="hybridMultilevel"/>
    <w:tmpl w:val="0CE2B5E6"/>
    <w:lvl w:ilvl="0" w:tplc="EB384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E75EA0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5CD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B4D3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A838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D4D4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76D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1609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7AF8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C42E2"/>
    <w:multiLevelType w:val="hybridMultilevel"/>
    <w:tmpl w:val="37ECB20A"/>
    <w:lvl w:ilvl="0" w:tplc="AB50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A06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A7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1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0A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0A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2F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CD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CE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11DD"/>
    <w:multiLevelType w:val="hybridMultilevel"/>
    <w:tmpl w:val="FA5C2D58"/>
    <w:lvl w:ilvl="0" w:tplc="F9E8F4DC">
      <w:start w:val="1"/>
      <w:numFmt w:val="decimal"/>
      <w:lvlText w:val="%1."/>
      <w:lvlJc w:val="left"/>
      <w:pPr>
        <w:ind w:left="720" w:hanging="360"/>
      </w:pPr>
    </w:lvl>
    <w:lvl w:ilvl="1" w:tplc="61A679EE" w:tentative="1">
      <w:start w:val="1"/>
      <w:numFmt w:val="lowerLetter"/>
      <w:lvlText w:val="%2."/>
      <w:lvlJc w:val="left"/>
      <w:pPr>
        <w:ind w:left="1440" w:hanging="360"/>
      </w:pPr>
    </w:lvl>
    <w:lvl w:ilvl="2" w:tplc="39302EDC" w:tentative="1">
      <w:start w:val="1"/>
      <w:numFmt w:val="lowerRoman"/>
      <w:lvlText w:val="%3."/>
      <w:lvlJc w:val="right"/>
      <w:pPr>
        <w:ind w:left="2160" w:hanging="180"/>
      </w:pPr>
    </w:lvl>
    <w:lvl w:ilvl="3" w:tplc="187474A2" w:tentative="1">
      <w:start w:val="1"/>
      <w:numFmt w:val="decimal"/>
      <w:lvlText w:val="%4."/>
      <w:lvlJc w:val="left"/>
      <w:pPr>
        <w:ind w:left="2880" w:hanging="360"/>
      </w:pPr>
    </w:lvl>
    <w:lvl w:ilvl="4" w:tplc="DB9A6786" w:tentative="1">
      <w:start w:val="1"/>
      <w:numFmt w:val="lowerLetter"/>
      <w:lvlText w:val="%5."/>
      <w:lvlJc w:val="left"/>
      <w:pPr>
        <w:ind w:left="3600" w:hanging="360"/>
      </w:pPr>
    </w:lvl>
    <w:lvl w:ilvl="5" w:tplc="149867F6" w:tentative="1">
      <w:start w:val="1"/>
      <w:numFmt w:val="lowerRoman"/>
      <w:lvlText w:val="%6."/>
      <w:lvlJc w:val="right"/>
      <w:pPr>
        <w:ind w:left="4320" w:hanging="180"/>
      </w:pPr>
    </w:lvl>
    <w:lvl w:ilvl="6" w:tplc="A9C44654" w:tentative="1">
      <w:start w:val="1"/>
      <w:numFmt w:val="decimal"/>
      <w:lvlText w:val="%7."/>
      <w:lvlJc w:val="left"/>
      <w:pPr>
        <w:ind w:left="5040" w:hanging="360"/>
      </w:pPr>
    </w:lvl>
    <w:lvl w:ilvl="7" w:tplc="6F4AD146" w:tentative="1">
      <w:start w:val="1"/>
      <w:numFmt w:val="lowerLetter"/>
      <w:lvlText w:val="%8."/>
      <w:lvlJc w:val="left"/>
      <w:pPr>
        <w:ind w:left="5760" w:hanging="360"/>
      </w:pPr>
    </w:lvl>
    <w:lvl w:ilvl="8" w:tplc="E13EA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2CDE"/>
    <w:multiLevelType w:val="hybridMultilevel"/>
    <w:tmpl w:val="5B6827D0"/>
    <w:lvl w:ilvl="0" w:tplc="776E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AD622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46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E1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40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CC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8D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46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EA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0E5"/>
    <w:multiLevelType w:val="hybridMultilevel"/>
    <w:tmpl w:val="D636561A"/>
    <w:lvl w:ilvl="0" w:tplc="B510C2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F686F4D4" w:tentative="1">
      <w:start w:val="1"/>
      <w:numFmt w:val="lowerLetter"/>
      <w:lvlText w:val="%2."/>
      <w:lvlJc w:val="left"/>
      <w:pPr>
        <w:ind w:left="1080" w:hanging="360"/>
      </w:pPr>
    </w:lvl>
    <w:lvl w:ilvl="2" w:tplc="2E40B786" w:tentative="1">
      <w:start w:val="1"/>
      <w:numFmt w:val="lowerRoman"/>
      <w:lvlText w:val="%3."/>
      <w:lvlJc w:val="right"/>
      <w:pPr>
        <w:ind w:left="1800" w:hanging="180"/>
      </w:pPr>
    </w:lvl>
    <w:lvl w:ilvl="3" w:tplc="37447DAA" w:tentative="1">
      <w:start w:val="1"/>
      <w:numFmt w:val="decimal"/>
      <w:lvlText w:val="%4."/>
      <w:lvlJc w:val="left"/>
      <w:pPr>
        <w:ind w:left="2520" w:hanging="360"/>
      </w:pPr>
    </w:lvl>
    <w:lvl w:ilvl="4" w:tplc="7CD43DF2" w:tentative="1">
      <w:start w:val="1"/>
      <w:numFmt w:val="lowerLetter"/>
      <w:lvlText w:val="%5."/>
      <w:lvlJc w:val="left"/>
      <w:pPr>
        <w:ind w:left="3240" w:hanging="360"/>
      </w:pPr>
    </w:lvl>
    <w:lvl w:ilvl="5" w:tplc="C31C80EA" w:tentative="1">
      <w:start w:val="1"/>
      <w:numFmt w:val="lowerRoman"/>
      <w:lvlText w:val="%6."/>
      <w:lvlJc w:val="right"/>
      <w:pPr>
        <w:ind w:left="3960" w:hanging="180"/>
      </w:pPr>
    </w:lvl>
    <w:lvl w:ilvl="6" w:tplc="3064FD16" w:tentative="1">
      <w:start w:val="1"/>
      <w:numFmt w:val="decimal"/>
      <w:lvlText w:val="%7."/>
      <w:lvlJc w:val="left"/>
      <w:pPr>
        <w:ind w:left="4680" w:hanging="360"/>
      </w:pPr>
    </w:lvl>
    <w:lvl w:ilvl="7" w:tplc="D938CA6A" w:tentative="1">
      <w:start w:val="1"/>
      <w:numFmt w:val="lowerLetter"/>
      <w:lvlText w:val="%8."/>
      <w:lvlJc w:val="left"/>
      <w:pPr>
        <w:ind w:left="5400" w:hanging="360"/>
      </w:pPr>
    </w:lvl>
    <w:lvl w:ilvl="8" w:tplc="CC14B4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524EC"/>
    <w:multiLevelType w:val="hybridMultilevel"/>
    <w:tmpl w:val="C83AE318"/>
    <w:lvl w:ilvl="0" w:tplc="63A2B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E48A0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0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2E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3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0F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05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84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1066"/>
    <w:multiLevelType w:val="hybridMultilevel"/>
    <w:tmpl w:val="29A03522"/>
    <w:lvl w:ilvl="0" w:tplc="446C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F3187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44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A8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2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C4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3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23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0D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72A1"/>
    <w:multiLevelType w:val="hybridMultilevel"/>
    <w:tmpl w:val="700E460A"/>
    <w:lvl w:ilvl="0" w:tplc="48BEE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8B7A2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A3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4B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0F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224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61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2D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AC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4B2"/>
    <w:multiLevelType w:val="hybridMultilevel"/>
    <w:tmpl w:val="75B62ACE"/>
    <w:lvl w:ilvl="0" w:tplc="F90CEF26">
      <w:start w:val="1"/>
      <w:numFmt w:val="decimal"/>
      <w:lvlText w:val="%1."/>
      <w:lvlJc w:val="left"/>
      <w:pPr>
        <w:ind w:left="720" w:hanging="360"/>
      </w:pPr>
    </w:lvl>
    <w:lvl w:ilvl="1" w:tplc="22244528" w:tentative="1">
      <w:start w:val="1"/>
      <w:numFmt w:val="lowerLetter"/>
      <w:lvlText w:val="%2."/>
      <w:lvlJc w:val="left"/>
      <w:pPr>
        <w:ind w:left="1440" w:hanging="360"/>
      </w:pPr>
    </w:lvl>
    <w:lvl w:ilvl="2" w:tplc="9342C27A" w:tentative="1">
      <w:start w:val="1"/>
      <w:numFmt w:val="lowerRoman"/>
      <w:lvlText w:val="%3."/>
      <w:lvlJc w:val="right"/>
      <w:pPr>
        <w:ind w:left="2160" w:hanging="180"/>
      </w:pPr>
    </w:lvl>
    <w:lvl w:ilvl="3" w:tplc="5A667284" w:tentative="1">
      <w:start w:val="1"/>
      <w:numFmt w:val="decimal"/>
      <w:lvlText w:val="%4."/>
      <w:lvlJc w:val="left"/>
      <w:pPr>
        <w:ind w:left="2880" w:hanging="360"/>
      </w:pPr>
    </w:lvl>
    <w:lvl w:ilvl="4" w:tplc="A636EB54" w:tentative="1">
      <w:start w:val="1"/>
      <w:numFmt w:val="lowerLetter"/>
      <w:lvlText w:val="%5."/>
      <w:lvlJc w:val="left"/>
      <w:pPr>
        <w:ind w:left="3600" w:hanging="360"/>
      </w:pPr>
    </w:lvl>
    <w:lvl w:ilvl="5" w:tplc="72D28164" w:tentative="1">
      <w:start w:val="1"/>
      <w:numFmt w:val="lowerRoman"/>
      <w:lvlText w:val="%6."/>
      <w:lvlJc w:val="right"/>
      <w:pPr>
        <w:ind w:left="4320" w:hanging="180"/>
      </w:pPr>
    </w:lvl>
    <w:lvl w:ilvl="6" w:tplc="7B2CBB60" w:tentative="1">
      <w:start w:val="1"/>
      <w:numFmt w:val="decimal"/>
      <w:lvlText w:val="%7."/>
      <w:lvlJc w:val="left"/>
      <w:pPr>
        <w:ind w:left="5040" w:hanging="360"/>
      </w:pPr>
    </w:lvl>
    <w:lvl w:ilvl="7" w:tplc="056C442A" w:tentative="1">
      <w:start w:val="1"/>
      <w:numFmt w:val="lowerLetter"/>
      <w:lvlText w:val="%8."/>
      <w:lvlJc w:val="left"/>
      <w:pPr>
        <w:ind w:left="5760" w:hanging="360"/>
      </w:pPr>
    </w:lvl>
    <w:lvl w:ilvl="8" w:tplc="51BE3F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6F"/>
    <w:rsid w:val="003B21E7"/>
    <w:rsid w:val="00841A81"/>
    <w:rsid w:val="00EE3CEA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ABDF"/>
  <w15:docId w15:val="{0B9CDE70-ED96-455C-9E50-B045D14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yperlink">
    <w:name w:val="Hyperlink"/>
    <w:basedOn w:val="DefaultParagraphFont"/>
    <w:uiPriority w:val="99"/>
    <w:unhideWhenUsed/>
    <w:rsid w:val="00DA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6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A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thribble.gov.uk/article/1623/Central-Lancashire-Community-Infrastructure-Levy-Draft-Regulation-123-L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uthribble.gov.uk/media/699/2019-20-CIL-annual-Infrastructure-Funding-Statement/pdf/South_Ribble_Borough_Council_Infrastructure_Funding_Statement_2019-20_-_Website_version.pdf?m=6374787676584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hribble.moderngov.co.uk/documents/s18319/Infrastructure%20Funding%20State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B038FC-AAC1-4017-ADCB-6BD5354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Clare Gornall</cp:lastModifiedBy>
  <cp:revision>4</cp:revision>
  <cp:lastPrinted>2014-03-21T13:56:00Z</cp:lastPrinted>
  <dcterms:created xsi:type="dcterms:W3CDTF">2021-11-08T11:30:00Z</dcterms:created>
  <dcterms:modified xsi:type="dcterms:W3CDTF">2021-11-08T11:31:00Z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Informal Cabinet Briefing</vt:lpwstr>
  </property>
  <property fmtid="{D5CDD505-2E9C-101B-9397-08002B2CF9AE}" pid="3" name="IssueTitle">
    <vt:lpwstr>Infrastructure Funding Statement</vt:lpwstr>
  </property>
  <property fmtid="{D5CDD505-2E9C-101B-9397-08002B2CF9AE}" pid="4" name="LeadDirector">
    <vt:lpwstr>Director of Planning and Development</vt:lpwstr>
  </property>
  <property fmtid="{D5CDD505-2E9C-101B-9397-08002B2CF9AE}" pid="5" name="LeadMember">
    <vt:lpwstr>Cabinet Member (Planning, Business Support and Regeneration)</vt:lpwstr>
  </property>
  <property fmtid="{D5CDD505-2E9C-101B-9397-08002B2CF9AE}" pid="6" name="LeadOfficer">
    <vt:lpwstr>Shannon Hill</vt:lpwstr>
  </property>
  <property fmtid="{D5CDD505-2E9C-101B-9397-08002B2CF9AE}" pid="7" name="LeadOfficerEmail">
    <vt:lpwstr>shill@southribble.gov.uk</vt:lpwstr>
  </property>
  <property fmtid="{D5CDD505-2E9C-101B-9397-08002B2CF9AE}" pid="8" name="LeadOfficerPost">
    <vt:lpwstr>CIL and S106 Officer</vt:lpwstr>
  </property>
  <property fmtid="{D5CDD505-2E9C-101B-9397-08002B2CF9AE}" pid="9" name="MeetingDate">
    <vt:lpwstr>Thursday, 4 November 2021</vt:lpwstr>
  </property>
  <property fmtid="{D5CDD505-2E9C-101B-9397-08002B2CF9AE}" pid="10" name="MeetingDateLegal">
    <vt:lpwstr>MeetingDateLegal</vt:lpwstr>
  </property>
</Properties>
</file>