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116"/>
        <w:gridCol w:w="2551"/>
      </w:tblGrid>
      <w:tr w:rsidR="00066063" w14:paraId="1AD4B3CD" w14:textId="77777777" w:rsidTr="00AE1F7D">
        <w:trPr>
          <w:cantSplit/>
        </w:trPr>
        <w:tc>
          <w:tcPr>
            <w:tcW w:w="3397" w:type="dxa"/>
            <w:shd w:val="clear" w:color="auto" w:fill="BFBFBF"/>
            <w:vAlign w:val="center"/>
          </w:tcPr>
          <w:p w14:paraId="1AD4B3CA" w14:textId="77777777" w:rsidR="00AE1F7D" w:rsidRPr="00D4431F" w:rsidRDefault="00907B19" w:rsidP="00AE1F7D">
            <w:pPr>
              <w:spacing w:line="240" w:lineRule="auto"/>
              <w:jc w:val="center"/>
              <w:rPr>
                <w:rFonts w:cstheme="minorHAnsi"/>
                <w:b/>
                <w:bCs/>
              </w:rPr>
            </w:pPr>
            <w:bookmarkStart w:id="0" w:name="_Hlk75350991"/>
            <w:bookmarkEnd w:id="0"/>
            <w:r>
              <w:rPr>
                <w:rFonts w:cstheme="minorHAnsi"/>
                <w:b/>
                <w:bCs/>
              </w:rPr>
              <w:t>Report of</w:t>
            </w:r>
          </w:p>
        </w:tc>
        <w:tc>
          <w:tcPr>
            <w:tcW w:w="4116" w:type="dxa"/>
            <w:shd w:val="clear" w:color="auto" w:fill="BFBFBF"/>
          </w:tcPr>
          <w:p w14:paraId="1AD4B3CB" w14:textId="77777777" w:rsidR="00AE1F7D" w:rsidRDefault="00907B19" w:rsidP="00AE1F7D">
            <w:pPr>
              <w:spacing w:line="240" w:lineRule="auto"/>
              <w:jc w:val="center"/>
              <w:rPr>
                <w:rFonts w:cstheme="minorHAnsi"/>
                <w:b/>
                <w:bCs/>
              </w:rPr>
            </w:pPr>
            <w:r>
              <w:rPr>
                <w:rFonts w:cstheme="minorHAnsi"/>
                <w:b/>
                <w:bCs/>
              </w:rPr>
              <w:t>Meeting</w:t>
            </w:r>
          </w:p>
        </w:tc>
        <w:tc>
          <w:tcPr>
            <w:tcW w:w="2551" w:type="dxa"/>
            <w:shd w:val="clear" w:color="auto" w:fill="BFBFBF"/>
            <w:vAlign w:val="center"/>
          </w:tcPr>
          <w:p w14:paraId="1AD4B3CC" w14:textId="77777777" w:rsidR="00AE1F7D" w:rsidRPr="00D4431F" w:rsidRDefault="00907B19" w:rsidP="00AE1F7D">
            <w:pPr>
              <w:spacing w:line="240" w:lineRule="auto"/>
              <w:jc w:val="center"/>
              <w:rPr>
                <w:rFonts w:cstheme="minorHAnsi"/>
                <w:b/>
                <w:bCs/>
              </w:rPr>
            </w:pPr>
            <w:r>
              <w:rPr>
                <w:rFonts w:cstheme="minorHAnsi"/>
                <w:b/>
                <w:bCs/>
              </w:rPr>
              <w:t>Date</w:t>
            </w:r>
          </w:p>
        </w:tc>
      </w:tr>
      <w:tr w:rsidR="00066063" w14:paraId="1AD4B3D2" w14:textId="77777777" w:rsidTr="00AE1F7D">
        <w:trPr>
          <w:cantSplit/>
          <w:trHeight w:val="804"/>
        </w:trPr>
        <w:tc>
          <w:tcPr>
            <w:tcW w:w="3397" w:type="dxa"/>
            <w:tcBorders>
              <w:top w:val="single" w:sz="4" w:space="0" w:color="auto"/>
              <w:left w:val="single" w:sz="4" w:space="0" w:color="auto"/>
              <w:bottom w:val="single" w:sz="4" w:space="0" w:color="auto"/>
              <w:right w:val="single" w:sz="4" w:space="0" w:color="auto"/>
            </w:tcBorders>
            <w:vAlign w:val="center"/>
          </w:tcPr>
          <w:p w14:paraId="1AD4B3CE" w14:textId="77777777" w:rsidR="00AE1F7D" w:rsidRDefault="00907B19" w:rsidP="00AE1F7D">
            <w:pPr>
              <w:spacing w:after="0"/>
              <w:jc w:val="center"/>
            </w:pPr>
            <w:r>
              <w:t xml:space="preserve">Deputy Chief Executive </w:t>
            </w:r>
            <w:r>
              <w:fldChar w:fldCharType="begin"/>
            </w:r>
            <w:r>
              <w:instrText xml:space="preserve"> DOCPROPERTY  LeadMember  \* MERGEFORMAT </w:instrText>
            </w:r>
            <w:r>
              <w:fldChar w:fldCharType="end"/>
            </w:r>
          </w:p>
          <w:p w14:paraId="1AD4B3CF" w14:textId="77777777" w:rsidR="00AE1F7D" w:rsidRPr="00ED4FF1" w:rsidRDefault="00907B19" w:rsidP="00AE1F7D">
            <w:pPr>
              <w:spacing w:after="0"/>
              <w:jc w:val="center"/>
            </w:pPr>
            <w:r>
              <w:t>(Introduced by Leader of the Council)</w:t>
            </w:r>
            <w:r>
              <w:fldChar w:fldCharType="begin"/>
            </w:r>
            <w:r>
              <w:instrText xml:space="preserve"> DOCPROPERTY  LeadDirector  \* MERGEFORMAT </w:instrText>
            </w:r>
            <w:r>
              <w:fldChar w:fldCharType="end"/>
            </w:r>
            <w:r>
              <w:t xml:space="preserve"> </w:t>
            </w:r>
          </w:p>
        </w:tc>
        <w:tc>
          <w:tcPr>
            <w:tcW w:w="4116" w:type="dxa"/>
            <w:tcBorders>
              <w:top w:val="single" w:sz="4" w:space="0" w:color="auto"/>
              <w:left w:val="single" w:sz="4" w:space="0" w:color="auto"/>
              <w:bottom w:val="single" w:sz="4" w:space="0" w:color="auto"/>
              <w:right w:val="single" w:sz="4" w:space="0" w:color="auto"/>
            </w:tcBorders>
            <w:vAlign w:val="center"/>
          </w:tcPr>
          <w:p w14:paraId="16BC2BC3" w14:textId="77777777" w:rsidR="00AE1F7D" w:rsidRDefault="00907B19" w:rsidP="00AE1F7D">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Scrutiny Budget and Performance Panel</w:t>
            </w:r>
            <w:r>
              <w:rPr>
                <w:rFonts w:cstheme="minorHAnsi"/>
              </w:rPr>
              <w:fldChar w:fldCharType="end"/>
            </w:r>
          </w:p>
          <w:p w14:paraId="1AD4B3D0" w14:textId="18A07E75" w:rsidR="00414DEF" w:rsidRPr="00ED4FF1" w:rsidRDefault="00414DEF" w:rsidP="00AE1F7D">
            <w:pPr>
              <w:spacing w:line="240" w:lineRule="auto"/>
              <w:jc w:val="center"/>
              <w:rPr>
                <w:rFonts w:cstheme="minorHAnsi"/>
              </w:rPr>
            </w:pPr>
            <w:r>
              <w:rPr>
                <w:rFonts w:cstheme="minorHAnsi"/>
              </w:rPr>
              <w:t>Cabinet</w:t>
            </w:r>
          </w:p>
        </w:tc>
        <w:tc>
          <w:tcPr>
            <w:tcW w:w="2551" w:type="dxa"/>
            <w:tcBorders>
              <w:top w:val="single" w:sz="4" w:space="0" w:color="auto"/>
              <w:left w:val="single" w:sz="4" w:space="0" w:color="auto"/>
              <w:bottom w:val="single" w:sz="4" w:space="0" w:color="auto"/>
              <w:right w:val="single" w:sz="4" w:space="0" w:color="auto"/>
            </w:tcBorders>
            <w:vAlign w:val="center"/>
          </w:tcPr>
          <w:p w14:paraId="4743887E" w14:textId="77777777" w:rsidR="00AE1F7D" w:rsidRDefault="00907B19" w:rsidP="00AE1F7D">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Monday, 15 November 2021</w:t>
            </w:r>
            <w:r>
              <w:rPr>
                <w:rFonts w:cstheme="minorHAnsi"/>
              </w:rPr>
              <w:fldChar w:fldCharType="end"/>
            </w:r>
          </w:p>
          <w:p w14:paraId="1AD4B3D1" w14:textId="76172F94" w:rsidR="00414DEF" w:rsidRPr="00ED4FF1" w:rsidRDefault="00414DEF" w:rsidP="00AE1F7D">
            <w:pPr>
              <w:spacing w:line="240" w:lineRule="auto"/>
              <w:jc w:val="center"/>
              <w:rPr>
                <w:rFonts w:cstheme="minorHAnsi"/>
              </w:rPr>
            </w:pPr>
            <w:r>
              <w:rPr>
                <w:rFonts w:cstheme="minorHAnsi"/>
              </w:rPr>
              <w:t>Wednesday, 17 November 2021</w:t>
            </w:r>
            <w:bookmarkStart w:id="1" w:name="_GoBack"/>
            <w:bookmarkEnd w:id="1"/>
          </w:p>
        </w:tc>
      </w:tr>
    </w:tbl>
    <w:p w14:paraId="1AD4B3D3" w14:textId="77777777" w:rsidR="00AE1F7D" w:rsidRDefault="00907B19" w:rsidP="00AE1F7D">
      <w:pPr>
        <w:spacing w:after="0"/>
      </w:pPr>
      <w:r>
        <w:rPr>
          <w:rFonts w:cstheme="minorHAnsi"/>
          <w:b/>
          <w:bCs/>
          <w:noProof/>
        </w:rPr>
        <w:drawing>
          <wp:anchor distT="0" distB="0" distL="114300" distR="114300" simplePos="0" relativeHeight="251658240" behindDoc="0" locked="0" layoutInCell="1" allowOverlap="1" wp14:anchorId="1AD4B679" wp14:editId="1AD4B67A">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8982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1AD4B3D4" w14:textId="77777777" w:rsidR="00AE1F7D" w:rsidRDefault="007474A4" w:rsidP="00AE1F7D">
      <w:pPr>
        <w:pStyle w:val="Heading1"/>
        <w:spacing w:before="0" w:beforeAutospacing="0"/>
        <w:rPr>
          <w:rFonts w:asciiTheme="majorHAnsi" w:hAnsiTheme="majorHAnsi" w:cstheme="majorHAnsi"/>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4685"/>
      </w:tblGrid>
      <w:tr w:rsidR="00066063" w14:paraId="1AD4B3D8" w14:textId="77777777" w:rsidTr="00AE1F7D">
        <w:trPr>
          <w:jc w:val="center"/>
        </w:trPr>
        <w:tc>
          <w:tcPr>
            <w:tcW w:w="5382" w:type="dxa"/>
            <w:shd w:val="clear" w:color="auto" w:fill="auto"/>
          </w:tcPr>
          <w:p w14:paraId="1AD4B3D5" w14:textId="77777777" w:rsidR="00AE1F7D" w:rsidRPr="00D1305C" w:rsidRDefault="00907B19" w:rsidP="00AE1F7D">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1AD4B3D6" w14:textId="77777777" w:rsidR="00AE1F7D" w:rsidRPr="00D1305C" w:rsidRDefault="00907B19" w:rsidP="00AE1F7D">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1AD4B3D7" w14:textId="77777777" w:rsidR="00AE1F7D" w:rsidRPr="00284E95" w:rsidRDefault="007474A4" w:rsidP="00AE1F7D">
            <w:pPr>
              <w:spacing w:after="0"/>
              <w:rPr>
                <w:rFonts w:eastAsia="Times New Roman" w:cstheme="minorHAnsi"/>
                <w:bCs/>
                <w:iCs/>
                <w:color w:val="000000" w:themeColor="text1"/>
                <w:kern w:val="36"/>
                <w:lang w:eastAsia="en-GB"/>
              </w:rPr>
            </w:pPr>
          </w:p>
        </w:tc>
      </w:tr>
      <w:tr w:rsidR="00066063" w14:paraId="1AD4B3DC" w14:textId="77777777" w:rsidTr="00AE1F7D">
        <w:trPr>
          <w:jc w:val="center"/>
        </w:trPr>
        <w:tc>
          <w:tcPr>
            <w:tcW w:w="5382" w:type="dxa"/>
            <w:shd w:val="clear" w:color="auto" w:fill="auto"/>
          </w:tcPr>
          <w:p w14:paraId="1AD4B3D9" w14:textId="77777777" w:rsidR="00AE1F7D" w:rsidRPr="00D1305C" w:rsidRDefault="00907B19" w:rsidP="00AE1F7D">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1AD4B3DA" w14:textId="77777777" w:rsidR="00AE1F7D" w:rsidRDefault="00907B19" w:rsidP="00AE1F7D">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1AD4B3DB" w14:textId="77777777" w:rsidR="00AE1F7D" w:rsidRPr="00284E95" w:rsidRDefault="007474A4" w:rsidP="00AE1F7D">
            <w:pPr>
              <w:spacing w:after="0"/>
              <w:rPr>
                <w:rFonts w:eastAsia="Times New Roman" w:cstheme="minorHAnsi"/>
                <w:bCs/>
                <w:color w:val="000000" w:themeColor="text1"/>
                <w:kern w:val="36"/>
                <w:lang w:eastAsia="en-GB"/>
              </w:rPr>
            </w:pPr>
          </w:p>
        </w:tc>
      </w:tr>
    </w:tbl>
    <w:p w14:paraId="1AD4B3DD" w14:textId="77777777" w:rsidR="00AE1F7D" w:rsidRDefault="007474A4" w:rsidP="00AE1F7D">
      <w:pPr>
        <w:pStyle w:val="Heading1"/>
        <w:spacing w:before="0" w:beforeAutospacing="0" w:after="0" w:afterAutospacing="0"/>
        <w:rPr>
          <w:rFonts w:asciiTheme="majorHAnsi" w:hAnsiTheme="majorHAnsi" w:cstheme="majorHAnsi"/>
          <w:sz w:val="28"/>
          <w:szCs w:val="28"/>
        </w:rPr>
      </w:pPr>
    </w:p>
    <w:p w14:paraId="1AD4B3DE" w14:textId="77777777" w:rsidR="00AE1F7D" w:rsidRPr="00F87D59" w:rsidRDefault="00907B19" w:rsidP="00AE1F7D">
      <w:pPr>
        <w:pStyle w:val="Heading1"/>
        <w:spacing w:before="0" w:before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F87D59">
        <w:rPr>
          <w:rFonts w:asciiTheme="majorHAnsi" w:hAnsiTheme="majorHAnsi" w:cstheme="majorHAnsi"/>
          <w:sz w:val="28"/>
          <w:szCs w:val="28"/>
        </w:rPr>
        <w:t>Corporate Strategy Quarterly Performance Monitoring Report, Quarter Two 2021/22</w:t>
      </w:r>
      <w:r w:rsidRPr="00883AC9">
        <w:rPr>
          <w:rFonts w:asciiTheme="majorHAnsi" w:hAnsiTheme="majorHAnsi" w:cstheme="majorHAnsi"/>
          <w:sz w:val="28"/>
          <w:szCs w:val="28"/>
        </w:rPr>
        <w:fldChar w:fldCharType="end"/>
      </w:r>
    </w:p>
    <w:p w14:paraId="1AD4B3DF" w14:textId="77777777" w:rsidR="00AE1F7D" w:rsidRPr="00ED4FF1" w:rsidRDefault="00907B19" w:rsidP="00AE1F7D">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1AD4B3E0" w14:textId="77777777" w:rsidR="00AE1F7D" w:rsidRPr="00F87D59" w:rsidRDefault="00907B19" w:rsidP="00AE1F7D">
      <w:pPr>
        <w:pStyle w:val="ListParagraph"/>
        <w:numPr>
          <w:ilvl w:val="0"/>
          <w:numId w:val="8"/>
        </w:numPr>
        <w:rPr>
          <w:rFonts w:cstheme="minorHAnsi"/>
          <w:bCs/>
          <w:iCs/>
        </w:rPr>
      </w:pPr>
      <w:r w:rsidRPr="00F87D59">
        <w:rPr>
          <w:rFonts w:cstheme="minorHAnsi"/>
          <w:bCs/>
          <w:iCs/>
        </w:rPr>
        <w:t xml:space="preserve">To provide Cabinet with a position statement for the Corporate Strategy for quarter </w:t>
      </w:r>
      <w:r>
        <w:rPr>
          <w:rFonts w:cstheme="minorHAnsi"/>
          <w:bCs/>
          <w:iCs/>
        </w:rPr>
        <w:t>two</w:t>
      </w:r>
      <w:r w:rsidRPr="00F87D59">
        <w:rPr>
          <w:rFonts w:cstheme="minorHAnsi"/>
          <w:bCs/>
          <w:iCs/>
        </w:rPr>
        <w:t xml:space="preserve"> (</w:t>
      </w:r>
      <w:r>
        <w:rPr>
          <w:rFonts w:cstheme="minorHAnsi"/>
          <w:bCs/>
          <w:iCs/>
        </w:rPr>
        <w:t>July</w:t>
      </w:r>
      <w:r w:rsidRPr="00F87D59">
        <w:rPr>
          <w:rFonts w:cstheme="minorHAnsi"/>
          <w:bCs/>
          <w:iCs/>
        </w:rPr>
        <w:t xml:space="preserve"> – </w:t>
      </w:r>
      <w:r>
        <w:rPr>
          <w:rFonts w:cstheme="minorHAnsi"/>
          <w:bCs/>
          <w:iCs/>
        </w:rPr>
        <w:t>Sept</w:t>
      </w:r>
      <w:r w:rsidRPr="00F87D59">
        <w:rPr>
          <w:rFonts w:cstheme="minorHAnsi"/>
          <w:bCs/>
          <w:iCs/>
        </w:rPr>
        <w:t>) 2021/22.</w:t>
      </w:r>
    </w:p>
    <w:p w14:paraId="1AD4B3E1" w14:textId="77777777" w:rsidR="00AE1F7D" w:rsidRPr="00ED4FF1" w:rsidRDefault="00907B19" w:rsidP="00AE1F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14:paraId="1AD4B3E2" w14:textId="77777777" w:rsidR="00AE1F7D" w:rsidRDefault="00907B19" w:rsidP="00AE1F7D">
      <w:pPr>
        <w:pStyle w:val="ListParagraph"/>
        <w:numPr>
          <w:ilvl w:val="0"/>
          <w:numId w:val="8"/>
        </w:numPr>
        <w:spacing w:after="0" w:line="240" w:lineRule="auto"/>
        <w:jc w:val="both"/>
        <w:rPr>
          <w:rFonts w:cstheme="minorHAnsi"/>
          <w:bCs/>
          <w:iCs/>
        </w:rPr>
      </w:pPr>
      <w:r w:rsidRPr="00F87D59">
        <w:rPr>
          <w:rFonts w:cstheme="minorHAnsi"/>
          <w:bCs/>
          <w:iCs/>
        </w:rPr>
        <w:t>The Scrutiny Budget and Performance Panel are asked to consider the report and make comments and recommendations to the Cabinet</w:t>
      </w:r>
    </w:p>
    <w:p w14:paraId="1AD4B3E3" w14:textId="77777777" w:rsidR="00AE1F7D" w:rsidRPr="00F87D59" w:rsidRDefault="007474A4" w:rsidP="00AE1F7D">
      <w:pPr>
        <w:pStyle w:val="ListParagraph"/>
        <w:spacing w:after="0" w:line="240" w:lineRule="auto"/>
        <w:ind w:left="360"/>
        <w:jc w:val="both"/>
        <w:rPr>
          <w:rFonts w:cstheme="minorHAnsi"/>
          <w:bCs/>
          <w:iCs/>
        </w:rPr>
      </w:pPr>
    </w:p>
    <w:p w14:paraId="1AD4B3E4" w14:textId="77777777" w:rsidR="00AE1F7D" w:rsidRPr="001A3941" w:rsidRDefault="00907B19" w:rsidP="00AE1F7D">
      <w:pPr>
        <w:pStyle w:val="ListParagraph"/>
        <w:numPr>
          <w:ilvl w:val="0"/>
          <w:numId w:val="8"/>
        </w:numPr>
        <w:spacing w:after="0" w:line="240" w:lineRule="auto"/>
        <w:rPr>
          <w:rFonts w:ascii="Arial" w:eastAsia="Calibri" w:hAnsi="Arial" w:cs="Times New Roman"/>
        </w:rPr>
      </w:pPr>
      <w:r w:rsidRPr="001A3941">
        <w:rPr>
          <w:rFonts w:ascii="Arial" w:eastAsia="Calibri" w:hAnsi="Arial" w:cs="Times New Roman"/>
        </w:rPr>
        <w:t xml:space="preserve">Cabinet is asked to </w:t>
      </w:r>
      <w:r>
        <w:rPr>
          <w:rFonts w:ascii="Arial" w:eastAsia="Calibri" w:hAnsi="Arial" w:cs="Times New Roman"/>
        </w:rPr>
        <w:t>note</w:t>
      </w:r>
      <w:r w:rsidRPr="001A3941">
        <w:rPr>
          <w:rFonts w:ascii="Arial" w:eastAsia="Calibri" w:hAnsi="Arial" w:cs="Times New Roman"/>
        </w:rPr>
        <w:t xml:space="preserve"> the report.</w:t>
      </w:r>
    </w:p>
    <w:p w14:paraId="1AD4B3E5" w14:textId="77777777" w:rsidR="00AE1F7D" w:rsidRPr="00F87D59" w:rsidRDefault="007474A4" w:rsidP="00AE1F7D">
      <w:pPr>
        <w:pStyle w:val="ListParagraph"/>
        <w:spacing w:after="0" w:line="240" w:lineRule="auto"/>
        <w:ind w:left="360"/>
        <w:jc w:val="both"/>
        <w:rPr>
          <w:rFonts w:cstheme="minorHAnsi"/>
          <w:bCs/>
        </w:rPr>
      </w:pPr>
    </w:p>
    <w:p w14:paraId="1AD4B3E6" w14:textId="77777777" w:rsidR="00AE1F7D" w:rsidRPr="00ED4FF1" w:rsidRDefault="00907B19" w:rsidP="00AE1F7D">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1AD4B3E7" w14:textId="77777777" w:rsidR="00AE1F7D" w:rsidRPr="00F87D59" w:rsidRDefault="00907B19" w:rsidP="00AE1F7D">
      <w:pPr>
        <w:pStyle w:val="ListParagraph"/>
        <w:numPr>
          <w:ilvl w:val="0"/>
          <w:numId w:val="8"/>
        </w:numPr>
        <w:rPr>
          <w:rFonts w:cstheme="minorHAnsi"/>
          <w:bCs/>
          <w:iCs/>
        </w:rPr>
      </w:pPr>
      <w:r w:rsidRPr="00F87D59">
        <w:rPr>
          <w:rFonts w:cstheme="minorHAnsi"/>
          <w:bCs/>
          <w:iCs/>
        </w:rPr>
        <w:t xml:space="preserve">The Council’s performance framework sets out the process for reporting progress against the objectives of the Corporate Strategy. Robust monitoring ensures that the </w:t>
      </w:r>
      <w:r>
        <w:rPr>
          <w:rFonts w:cstheme="minorHAnsi"/>
          <w:bCs/>
          <w:iCs/>
        </w:rPr>
        <w:t>C</w:t>
      </w:r>
      <w:r w:rsidRPr="00F87D59">
        <w:rPr>
          <w:rFonts w:cstheme="minorHAnsi"/>
          <w:bCs/>
          <w:iCs/>
        </w:rPr>
        <w:t>ouncil continues to deliver its priorities and achieves the best outcomes for residents.</w:t>
      </w:r>
    </w:p>
    <w:p w14:paraId="1AD4B3E8" w14:textId="77777777" w:rsidR="00AE1F7D" w:rsidRPr="00ED4FF1" w:rsidRDefault="00907B19" w:rsidP="00AE1F7D">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1AD4B3E9" w14:textId="77777777" w:rsidR="00AE1F7D" w:rsidRPr="00E54FF6" w:rsidRDefault="00907B19" w:rsidP="00AE1F7D">
      <w:pPr>
        <w:pStyle w:val="ListParagraph"/>
        <w:numPr>
          <w:ilvl w:val="0"/>
          <w:numId w:val="8"/>
        </w:numPr>
        <w:rPr>
          <w:rFonts w:cstheme="minorHAnsi"/>
          <w:bCs/>
          <w:iCs/>
        </w:rPr>
      </w:pPr>
      <w:r>
        <w:rPr>
          <w:rFonts w:cstheme="minorHAnsi"/>
          <w:bCs/>
          <w:iCs/>
        </w:rPr>
        <w:t>N/A</w:t>
      </w:r>
    </w:p>
    <w:p w14:paraId="1AD4B3EA" w14:textId="77777777" w:rsidR="00AE1F7D" w:rsidRPr="00ED4FF1" w:rsidRDefault="00907B19" w:rsidP="00AE1F7D">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1AD4B3EB" w14:textId="77777777" w:rsidR="00AE1F7D" w:rsidRPr="00460D79" w:rsidRDefault="00907B19" w:rsidP="00AE1F7D">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14:paraId="1AD4B3EC" w14:textId="77777777" w:rsidR="00AE1F7D" w:rsidRDefault="007474A4" w:rsidP="00AE1F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66063" w14:paraId="1AD4B3EF" w14:textId="77777777" w:rsidTr="00AE1F7D">
        <w:tc>
          <w:tcPr>
            <w:tcW w:w="4848" w:type="dxa"/>
            <w:shd w:val="clear" w:color="auto" w:fill="auto"/>
          </w:tcPr>
          <w:p w14:paraId="1AD4B3ED" w14:textId="77777777" w:rsidR="00AE1F7D" w:rsidRPr="00F87D59" w:rsidRDefault="00907B19" w:rsidP="00AE1F7D">
            <w:pPr>
              <w:spacing w:line="240" w:lineRule="auto"/>
              <w:rPr>
                <w:rFonts w:cstheme="minorHAnsi"/>
                <w:b/>
              </w:rPr>
            </w:pPr>
            <w:r w:rsidRPr="00F87D59">
              <w:rPr>
                <w:rFonts w:cstheme="minorHAnsi"/>
                <w:b/>
              </w:rPr>
              <w:t>An exemplary council</w:t>
            </w:r>
          </w:p>
        </w:tc>
        <w:tc>
          <w:tcPr>
            <w:tcW w:w="4678" w:type="dxa"/>
          </w:tcPr>
          <w:p w14:paraId="1AD4B3EE" w14:textId="77777777" w:rsidR="00AE1F7D" w:rsidRPr="00F87D59" w:rsidRDefault="00907B19" w:rsidP="00AE1F7D">
            <w:pPr>
              <w:spacing w:line="240" w:lineRule="auto"/>
              <w:rPr>
                <w:rFonts w:cstheme="minorHAnsi"/>
                <w:b/>
              </w:rPr>
            </w:pPr>
            <w:r w:rsidRPr="00F87D59">
              <w:rPr>
                <w:rFonts w:cstheme="minorHAnsi"/>
                <w:b/>
              </w:rPr>
              <w:t>Thriving communities</w:t>
            </w:r>
          </w:p>
        </w:tc>
      </w:tr>
      <w:tr w:rsidR="00066063" w14:paraId="1AD4B3F2" w14:textId="77777777" w:rsidTr="00AE1F7D">
        <w:tc>
          <w:tcPr>
            <w:tcW w:w="4848" w:type="dxa"/>
            <w:shd w:val="clear" w:color="auto" w:fill="auto"/>
          </w:tcPr>
          <w:p w14:paraId="1AD4B3F0" w14:textId="77777777" w:rsidR="00AE1F7D" w:rsidRPr="00F87D59" w:rsidRDefault="00907B19" w:rsidP="00AE1F7D">
            <w:pPr>
              <w:spacing w:line="240" w:lineRule="auto"/>
              <w:rPr>
                <w:rFonts w:cstheme="minorHAnsi"/>
                <w:b/>
              </w:rPr>
            </w:pPr>
            <w:r w:rsidRPr="00F87D59">
              <w:rPr>
                <w:rFonts w:cstheme="minorHAnsi"/>
                <w:b/>
              </w:rPr>
              <w:t>A fair local economy that works for everyone</w:t>
            </w:r>
          </w:p>
        </w:tc>
        <w:tc>
          <w:tcPr>
            <w:tcW w:w="4678" w:type="dxa"/>
          </w:tcPr>
          <w:p w14:paraId="1AD4B3F1" w14:textId="77777777" w:rsidR="00AE1F7D" w:rsidRPr="00F87D59" w:rsidRDefault="00907B19" w:rsidP="00AE1F7D">
            <w:pPr>
              <w:spacing w:line="240" w:lineRule="auto"/>
              <w:rPr>
                <w:rFonts w:cstheme="minorHAnsi"/>
                <w:b/>
              </w:rPr>
            </w:pPr>
            <w:r w:rsidRPr="00F87D59">
              <w:rPr>
                <w:rFonts w:cstheme="minorHAnsi"/>
                <w:b/>
              </w:rPr>
              <w:t>Good homes, green spaces, healthy places</w:t>
            </w:r>
          </w:p>
        </w:tc>
      </w:tr>
    </w:tbl>
    <w:p w14:paraId="1AD4B3F3" w14:textId="77777777" w:rsidR="00AE1F7D" w:rsidRDefault="007474A4" w:rsidP="00AE1F7D">
      <w:pPr>
        <w:pStyle w:val="Heading2"/>
        <w:spacing w:before="0" w:beforeAutospacing="0" w:after="0" w:afterAutospacing="0"/>
        <w:rPr>
          <w:rFonts w:asciiTheme="majorHAnsi" w:hAnsiTheme="majorHAnsi" w:cstheme="majorHAnsi"/>
          <w:sz w:val="22"/>
        </w:rPr>
      </w:pPr>
    </w:p>
    <w:p w14:paraId="1AD4B3F4" w14:textId="77777777" w:rsidR="00AE1F7D" w:rsidRDefault="007474A4" w:rsidP="00AE1F7D">
      <w:pPr>
        <w:pStyle w:val="Heading2"/>
        <w:spacing w:before="0" w:beforeAutospacing="0" w:after="0" w:afterAutospacing="0"/>
        <w:rPr>
          <w:rFonts w:asciiTheme="majorHAnsi" w:hAnsiTheme="majorHAnsi" w:cstheme="majorHAnsi"/>
          <w:sz w:val="22"/>
        </w:rPr>
      </w:pPr>
    </w:p>
    <w:p w14:paraId="1AD4B3F5" w14:textId="77777777" w:rsidR="00AE1F7D" w:rsidRDefault="007474A4" w:rsidP="00AE1F7D">
      <w:pPr>
        <w:pStyle w:val="Heading2"/>
        <w:spacing w:before="0" w:beforeAutospacing="0" w:after="0" w:afterAutospacing="0"/>
        <w:rPr>
          <w:rFonts w:asciiTheme="majorHAnsi" w:hAnsiTheme="majorHAnsi" w:cstheme="majorHAnsi"/>
          <w:sz w:val="22"/>
        </w:rPr>
      </w:pPr>
    </w:p>
    <w:p w14:paraId="1AD4B3F6" w14:textId="77777777" w:rsidR="00AE1F7D" w:rsidRDefault="007474A4" w:rsidP="00AE1F7D">
      <w:pPr>
        <w:pStyle w:val="Heading2"/>
        <w:spacing w:before="0" w:beforeAutospacing="0" w:after="0" w:afterAutospacing="0"/>
        <w:rPr>
          <w:rFonts w:asciiTheme="majorHAnsi" w:hAnsiTheme="majorHAnsi" w:cstheme="majorHAnsi"/>
          <w:sz w:val="22"/>
        </w:rPr>
      </w:pPr>
    </w:p>
    <w:p w14:paraId="1AD4B3F7" w14:textId="77777777" w:rsidR="00AE1F7D" w:rsidRDefault="007474A4" w:rsidP="00AE1F7D">
      <w:pPr>
        <w:pStyle w:val="Heading2"/>
        <w:spacing w:before="0" w:beforeAutospacing="0" w:after="0" w:afterAutospacing="0"/>
        <w:rPr>
          <w:rFonts w:asciiTheme="majorHAnsi" w:hAnsiTheme="majorHAnsi" w:cstheme="majorHAnsi"/>
          <w:sz w:val="22"/>
        </w:rPr>
      </w:pPr>
    </w:p>
    <w:p w14:paraId="1AD4B3F8" w14:textId="77777777" w:rsidR="00AE1F7D" w:rsidRDefault="007474A4" w:rsidP="00AE1F7D">
      <w:pPr>
        <w:pStyle w:val="Heading2"/>
        <w:spacing w:before="0" w:beforeAutospacing="0" w:after="0" w:afterAutospacing="0"/>
        <w:rPr>
          <w:rFonts w:asciiTheme="majorHAnsi" w:hAnsiTheme="majorHAnsi" w:cstheme="majorHAnsi"/>
          <w:sz w:val="22"/>
        </w:rPr>
      </w:pPr>
    </w:p>
    <w:p w14:paraId="1AD4B3F9" w14:textId="77777777" w:rsidR="00AE1F7D" w:rsidRDefault="00907B19" w:rsidP="00AE1F7D">
      <w:pPr>
        <w:pStyle w:val="Heading2"/>
        <w:spacing w:before="0" w:beforeAutospacing="0" w:after="0" w:afterAutospacing="0"/>
        <w:rPr>
          <w:rFonts w:asciiTheme="majorHAnsi" w:hAnsiTheme="majorHAnsi" w:cstheme="majorHAnsi"/>
          <w:sz w:val="22"/>
        </w:rPr>
      </w:pPr>
      <w:r w:rsidRPr="00CA04F3">
        <w:rPr>
          <w:rFonts w:asciiTheme="majorHAnsi" w:hAnsiTheme="majorHAnsi" w:cstheme="majorHAnsi"/>
          <w:sz w:val="22"/>
        </w:rPr>
        <w:t>Executive summary</w:t>
      </w:r>
    </w:p>
    <w:p w14:paraId="1AD4B3FA" w14:textId="77777777" w:rsidR="00AE1F7D" w:rsidRDefault="007474A4" w:rsidP="00AE1F7D">
      <w:pPr>
        <w:pStyle w:val="Heading2"/>
        <w:spacing w:before="0" w:beforeAutospacing="0" w:after="0" w:afterAutospacing="0"/>
        <w:rPr>
          <w:rFonts w:asciiTheme="majorHAnsi" w:hAnsiTheme="majorHAnsi" w:cstheme="majorHAnsi"/>
          <w:sz w:val="22"/>
        </w:rPr>
      </w:pPr>
    </w:p>
    <w:p w14:paraId="1AD4B3FB" w14:textId="77777777" w:rsidR="00AE1F7D" w:rsidRDefault="00907B19" w:rsidP="00AE1F7D">
      <w:pPr>
        <w:pStyle w:val="ListParagraph"/>
        <w:numPr>
          <w:ilvl w:val="0"/>
          <w:numId w:val="8"/>
        </w:numPr>
        <w:rPr>
          <w:rFonts w:cstheme="minorHAnsi"/>
          <w:bCs/>
          <w:iCs/>
        </w:rPr>
      </w:pPr>
      <w:r w:rsidRPr="00F87D59">
        <w:rPr>
          <w:rFonts w:cstheme="minorHAnsi"/>
          <w:bCs/>
          <w:iCs/>
        </w:rPr>
        <w:t xml:space="preserve">This report presents the performance of the Corporate Strategy at the end of quarter </w:t>
      </w:r>
      <w:r>
        <w:rPr>
          <w:rFonts w:cstheme="minorHAnsi"/>
          <w:bCs/>
          <w:iCs/>
        </w:rPr>
        <w:t>two</w:t>
      </w:r>
      <w:r w:rsidRPr="00F87D59">
        <w:rPr>
          <w:rFonts w:cstheme="minorHAnsi"/>
          <w:bCs/>
          <w:iCs/>
        </w:rPr>
        <w:t xml:space="preserve"> (</w:t>
      </w:r>
      <w:r>
        <w:rPr>
          <w:rFonts w:cstheme="minorHAnsi"/>
          <w:bCs/>
          <w:iCs/>
        </w:rPr>
        <w:t>1 July</w:t>
      </w:r>
      <w:r w:rsidRPr="00F87D59">
        <w:rPr>
          <w:rFonts w:cstheme="minorHAnsi"/>
          <w:bCs/>
          <w:iCs/>
        </w:rPr>
        <w:t xml:space="preserve"> – </w:t>
      </w:r>
      <w:r>
        <w:rPr>
          <w:rFonts w:cstheme="minorHAnsi"/>
          <w:bCs/>
          <w:iCs/>
        </w:rPr>
        <w:t>30 September</w:t>
      </w:r>
      <w:r w:rsidRPr="00F87D59">
        <w:rPr>
          <w:rFonts w:cstheme="minorHAnsi"/>
          <w:bCs/>
          <w:iCs/>
        </w:rPr>
        <w:t xml:space="preserve"> 2021). This report provides an update on the current position for the 14 projects, 24 Corporate Strategy performance measures and 13 key organisational performance measures.  </w:t>
      </w:r>
    </w:p>
    <w:p w14:paraId="1AD4B3FC" w14:textId="77777777" w:rsidR="00AE1F7D" w:rsidRDefault="007474A4" w:rsidP="00AE1F7D">
      <w:pPr>
        <w:pStyle w:val="ListParagraph"/>
        <w:ind w:left="360"/>
        <w:rPr>
          <w:rFonts w:cstheme="minorHAnsi"/>
          <w:bCs/>
          <w:iCs/>
        </w:rPr>
      </w:pPr>
    </w:p>
    <w:p w14:paraId="1AD4B3FD" w14:textId="77777777" w:rsidR="00AE1F7D" w:rsidRDefault="00907B19" w:rsidP="00AE1F7D">
      <w:pPr>
        <w:pStyle w:val="ListParagraph"/>
        <w:numPr>
          <w:ilvl w:val="0"/>
          <w:numId w:val="8"/>
        </w:numPr>
        <w:rPr>
          <w:rFonts w:cstheme="minorHAnsi"/>
          <w:bCs/>
          <w:iCs/>
        </w:rPr>
      </w:pPr>
      <w:r w:rsidRPr="00F87D59">
        <w:rPr>
          <w:rFonts w:cstheme="minorHAnsi"/>
          <w:bCs/>
          <w:iCs/>
        </w:rPr>
        <w:t xml:space="preserve">Of the 14 projects in the strategy: </w:t>
      </w:r>
      <w:r>
        <w:rPr>
          <w:rFonts w:cstheme="minorHAnsi"/>
          <w:bCs/>
          <w:iCs/>
        </w:rPr>
        <w:t>14% (two)</w:t>
      </w:r>
      <w:r w:rsidRPr="009232BE">
        <w:rPr>
          <w:rFonts w:cstheme="minorHAnsi"/>
          <w:bCs/>
          <w:iCs/>
        </w:rPr>
        <w:t xml:space="preserve"> </w:t>
      </w:r>
      <w:r>
        <w:rPr>
          <w:rFonts w:cstheme="minorHAnsi"/>
          <w:bCs/>
          <w:iCs/>
        </w:rPr>
        <w:t>are complete, 79% (11)</w:t>
      </w:r>
      <w:r w:rsidRPr="00992A8A">
        <w:rPr>
          <w:rFonts w:cstheme="minorHAnsi"/>
          <w:bCs/>
          <w:iCs/>
          <w:color w:val="FF0000"/>
        </w:rPr>
        <w:t xml:space="preserve"> </w:t>
      </w:r>
      <w:r w:rsidRPr="00F87D59">
        <w:rPr>
          <w:rFonts w:cstheme="minorHAnsi"/>
          <w:bCs/>
          <w:iCs/>
        </w:rPr>
        <w:t xml:space="preserve">are rated green and on-track; </w:t>
      </w:r>
      <w:r>
        <w:rPr>
          <w:rFonts w:cstheme="minorHAnsi"/>
          <w:bCs/>
          <w:iCs/>
        </w:rPr>
        <w:t>7% (one)</w:t>
      </w:r>
      <w:r w:rsidRPr="009F1664">
        <w:rPr>
          <w:rFonts w:cstheme="minorHAnsi"/>
          <w:bCs/>
          <w:iCs/>
        </w:rPr>
        <w:t xml:space="preserve"> </w:t>
      </w:r>
      <w:r w:rsidRPr="00F87D59">
        <w:rPr>
          <w:rFonts w:cstheme="minorHAnsi"/>
          <w:bCs/>
          <w:iCs/>
        </w:rPr>
        <w:t>is rated amber.</w:t>
      </w:r>
    </w:p>
    <w:p w14:paraId="1AD4B3FE" w14:textId="77777777" w:rsidR="00AE1F7D" w:rsidRPr="00F87D59" w:rsidRDefault="007474A4" w:rsidP="00AE1F7D">
      <w:pPr>
        <w:pStyle w:val="ListParagraph"/>
        <w:rPr>
          <w:rFonts w:cstheme="minorHAnsi"/>
          <w:bCs/>
          <w:iCs/>
        </w:rPr>
      </w:pPr>
    </w:p>
    <w:p w14:paraId="1AD4B3FF" w14:textId="77777777" w:rsidR="00AE1F7D" w:rsidRDefault="00907B19" w:rsidP="00AE1F7D">
      <w:pPr>
        <w:pStyle w:val="ListParagraph"/>
        <w:numPr>
          <w:ilvl w:val="0"/>
          <w:numId w:val="8"/>
        </w:numPr>
        <w:spacing w:after="0" w:line="240" w:lineRule="auto"/>
        <w:rPr>
          <w:rFonts w:ascii="Arial" w:eastAsia="Calibri" w:hAnsi="Arial" w:cs="Times New Roman"/>
        </w:rPr>
      </w:pPr>
      <w:r w:rsidRPr="001A3941">
        <w:rPr>
          <w:rFonts w:ascii="Arial" w:eastAsia="Calibri" w:hAnsi="Arial" w:cs="Times New Roman"/>
        </w:rPr>
        <w:t xml:space="preserve">Of the 24 performance indicators used to monitor the Corporate Strategy, </w:t>
      </w:r>
      <w:r w:rsidRPr="004C7C93">
        <w:rPr>
          <w:rFonts w:ascii="Arial" w:eastAsia="Calibri" w:hAnsi="Arial" w:cs="Times New Roman"/>
        </w:rPr>
        <w:t xml:space="preserve">eight </w:t>
      </w:r>
      <w:r w:rsidRPr="001A3941">
        <w:rPr>
          <w:rFonts w:ascii="Arial" w:eastAsia="Calibri" w:hAnsi="Arial" w:cs="Times New Roman"/>
        </w:rPr>
        <w:t xml:space="preserve">can be reported at the end of </w:t>
      </w:r>
      <w:r>
        <w:rPr>
          <w:rFonts w:ascii="Arial" w:eastAsia="Calibri" w:hAnsi="Arial" w:cs="Times New Roman"/>
        </w:rPr>
        <w:t xml:space="preserve">the </w:t>
      </w:r>
      <w:r w:rsidRPr="001A3941">
        <w:rPr>
          <w:rFonts w:ascii="Arial" w:eastAsia="Calibri" w:hAnsi="Arial" w:cs="Times New Roman"/>
        </w:rPr>
        <w:t>quarter</w:t>
      </w:r>
      <w:r>
        <w:rPr>
          <w:rFonts w:ascii="Arial" w:eastAsia="Calibri" w:hAnsi="Arial" w:cs="Times New Roman"/>
        </w:rPr>
        <w:t>. T</w:t>
      </w:r>
      <w:r w:rsidRPr="004C7C93">
        <w:rPr>
          <w:rFonts w:ascii="Arial" w:eastAsia="Calibri" w:hAnsi="Arial" w:cs="Times New Roman"/>
        </w:rPr>
        <w:t xml:space="preserve">hree </w:t>
      </w:r>
      <w:r w:rsidRPr="00DF567E">
        <w:rPr>
          <w:rFonts w:ascii="Arial" w:eastAsia="Calibri" w:hAnsi="Arial" w:cs="Times New Roman"/>
        </w:rPr>
        <w:t xml:space="preserve">are </w:t>
      </w:r>
      <w:r w:rsidRPr="001A3941">
        <w:rPr>
          <w:rFonts w:ascii="Arial" w:eastAsia="Calibri" w:hAnsi="Arial" w:cs="Times New Roman"/>
        </w:rPr>
        <w:t>rated green</w:t>
      </w:r>
      <w:r>
        <w:rPr>
          <w:rFonts w:ascii="Arial" w:eastAsia="Calibri" w:hAnsi="Arial" w:cs="Times New Roman"/>
        </w:rPr>
        <w:t xml:space="preserve">, </w:t>
      </w:r>
      <w:r w:rsidRPr="004C7C93">
        <w:rPr>
          <w:rFonts w:ascii="Arial" w:eastAsia="Calibri" w:hAnsi="Arial" w:cs="Times New Roman"/>
        </w:rPr>
        <w:t xml:space="preserve">three </w:t>
      </w:r>
      <w:r>
        <w:rPr>
          <w:rFonts w:ascii="Arial" w:eastAsia="Calibri" w:hAnsi="Arial" w:cs="Times New Roman"/>
        </w:rPr>
        <w:t xml:space="preserve">are rated red </w:t>
      </w:r>
      <w:r w:rsidRPr="001A3941">
        <w:rPr>
          <w:rFonts w:ascii="Arial" w:eastAsia="Calibri" w:hAnsi="Arial" w:cs="Times New Roman"/>
        </w:rPr>
        <w:t xml:space="preserve">and </w:t>
      </w:r>
      <w:r w:rsidRPr="004C7C93">
        <w:rPr>
          <w:rFonts w:ascii="Arial" w:eastAsia="Calibri" w:hAnsi="Arial" w:cs="Times New Roman"/>
        </w:rPr>
        <w:t xml:space="preserve">two </w:t>
      </w:r>
      <w:r>
        <w:rPr>
          <w:rFonts w:ascii="Arial" w:eastAsia="Calibri" w:hAnsi="Arial" w:cs="Times New Roman"/>
        </w:rPr>
        <w:t xml:space="preserve">are yet to be </w:t>
      </w:r>
      <w:r w:rsidRPr="001A3941">
        <w:rPr>
          <w:rFonts w:ascii="Arial" w:eastAsia="Calibri" w:hAnsi="Arial" w:cs="Times New Roman"/>
        </w:rPr>
        <w:t>baselin</w:t>
      </w:r>
      <w:r>
        <w:rPr>
          <w:rFonts w:ascii="Arial" w:eastAsia="Calibri" w:hAnsi="Arial" w:cs="Times New Roman"/>
        </w:rPr>
        <w:t>ed</w:t>
      </w:r>
      <w:r w:rsidRPr="001A3941">
        <w:rPr>
          <w:rFonts w:ascii="Arial" w:eastAsia="Calibri" w:hAnsi="Arial" w:cs="Times New Roman"/>
        </w:rPr>
        <w:t>.</w:t>
      </w:r>
    </w:p>
    <w:p w14:paraId="1AD4B400" w14:textId="77777777" w:rsidR="00AE1F7D" w:rsidRPr="001A3941" w:rsidRDefault="007474A4" w:rsidP="00AE1F7D">
      <w:pPr>
        <w:pStyle w:val="ListParagraph"/>
        <w:spacing w:after="0" w:line="240" w:lineRule="auto"/>
        <w:ind w:left="360"/>
        <w:rPr>
          <w:rFonts w:ascii="Arial" w:eastAsia="Calibri" w:hAnsi="Arial" w:cs="Times New Roman"/>
        </w:rPr>
      </w:pPr>
    </w:p>
    <w:p w14:paraId="1AD4B401" w14:textId="77777777" w:rsidR="00AE1F7D" w:rsidRDefault="00907B19" w:rsidP="00AE1F7D">
      <w:pPr>
        <w:pStyle w:val="ListParagraph"/>
        <w:numPr>
          <w:ilvl w:val="0"/>
          <w:numId w:val="8"/>
        </w:numPr>
        <w:spacing w:after="0" w:line="240" w:lineRule="auto"/>
        <w:rPr>
          <w:rFonts w:ascii="Arial" w:eastAsia="Calibri" w:hAnsi="Arial" w:cs="Times New Roman"/>
        </w:rPr>
      </w:pPr>
      <w:r w:rsidRPr="001A3941">
        <w:rPr>
          <w:rFonts w:ascii="Arial" w:eastAsia="Calibri" w:hAnsi="Arial" w:cs="Times New Roman"/>
        </w:rPr>
        <w:t xml:space="preserve">Of the 13 key organisational performance measures; </w:t>
      </w:r>
      <w:r w:rsidRPr="004C7C93">
        <w:rPr>
          <w:rFonts w:ascii="Arial" w:eastAsia="Calibri" w:hAnsi="Arial" w:cs="Times New Roman"/>
        </w:rPr>
        <w:t xml:space="preserve">nine </w:t>
      </w:r>
      <w:r w:rsidRPr="001A3941">
        <w:rPr>
          <w:rFonts w:ascii="Arial" w:eastAsia="Calibri" w:hAnsi="Arial" w:cs="Times New Roman"/>
        </w:rPr>
        <w:t>can be reported at the end of</w:t>
      </w:r>
      <w:r>
        <w:rPr>
          <w:rFonts w:ascii="Arial" w:eastAsia="Calibri" w:hAnsi="Arial" w:cs="Times New Roman"/>
        </w:rPr>
        <w:t xml:space="preserve"> the</w:t>
      </w:r>
      <w:r w:rsidRPr="001A3941">
        <w:rPr>
          <w:rFonts w:ascii="Arial" w:eastAsia="Calibri" w:hAnsi="Arial" w:cs="Times New Roman"/>
        </w:rPr>
        <w:t xml:space="preserve"> quarter</w:t>
      </w:r>
      <w:r>
        <w:rPr>
          <w:rFonts w:ascii="Arial" w:eastAsia="Calibri" w:hAnsi="Arial" w:cs="Times New Roman"/>
        </w:rPr>
        <w:t>. S</w:t>
      </w:r>
      <w:r w:rsidRPr="004C7C93">
        <w:rPr>
          <w:rFonts w:ascii="Arial" w:eastAsia="Calibri" w:hAnsi="Arial" w:cs="Times New Roman"/>
        </w:rPr>
        <w:t xml:space="preserve">ix </w:t>
      </w:r>
      <w:r w:rsidRPr="001A3941">
        <w:rPr>
          <w:rFonts w:ascii="Arial" w:eastAsia="Calibri" w:hAnsi="Arial" w:cs="Times New Roman"/>
        </w:rPr>
        <w:t xml:space="preserve">are performing better than target; </w:t>
      </w:r>
      <w:r w:rsidRPr="004C7C93">
        <w:rPr>
          <w:rFonts w:ascii="Arial" w:eastAsia="Calibri" w:hAnsi="Arial" w:cs="Times New Roman"/>
        </w:rPr>
        <w:t xml:space="preserve">one </w:t>
      </w:r>
      <w:r w:rsidRPr="001A3941">
        <w:rPr>
          <w:rFonts w:ascii="Arial" w:eastAsia="Calibri" w:hAnsi="Arial" w:cs="Times New Roman"/>
        </w:rPr>
        <w:t xml:space="preserve">is performing worse that target but within a 5% tolerance of the target; </w:t>
      </w:r>
      <w:r w:rsidRPr="004C7C93">
        <w:rPr>
          <w:rFonts w:ascii="Arial" w:eastAsia="Calibri" w:hAnsi="Arial" w:cs="Times New Roman"/>
        </w:rPr>
        <w:t xml:space="preserve">and two are </w:t>
      </w:r>
      <w:r w:rsidRPr="001A3941">
        <w:rPr>
          <w:rFonts w:ascii="Arial" w:eastAsia="Calibri" w:hAnsi="Arial" w:cs="Times New Roman"/>
        </w:rPr>
        <w:t>worse than target</w:t>
      </w:r>
      <w:r>
        <w:rPr>
          <w:rFonts w:ascii="Arial" w:eastAsia="Calibri" w:hAnsi="Arial" w:cs="Times New Roman"/>
        </w:rPr>
        <w:t xml:space="preserve"> and outside the 5% tolerance.</w:t>
      </w:r>
      <w:r w:rsidRPr="001A3941">
        <w:rPr>
          <w:rFonts w:ascii="Arial" w:eastAsia="Calibri" w:hAnsi="Arial" w:cs="Times New Roman"/>
        </w:rPr>
        <w:t xml:space="preserve"> </w:t>
      </w:r>
    </w:p>
    <w:p w14:paraId="1AD4B402" w14:textId="77777777" w:rsidR="00AE1F7D" w:rsidRPr="00460D79" w:rsidRDefault="007474A4" w:rsidP="00AE1F7D">
      <w:pPr>
        <w:spacing w:after="0" w:line="240" w:lineRule="auto"/>
        <w:rPr>
          <w:rFonts w:ascii="Arial" w:eastAsia="Calibri" w:hAnsi="Arial" w:cs="Times New Roman"/>
        </w:rPr>
      </w:pPr>
    </w:p>
    <w:p w14:paraId="1AD4B403" w14:textId="77777777" w:rsidR="00AE1F7D" w:rsidRPr="00ED4FF1" w:rsidRDefault="00907B19" w:rsidP="00AE1F7D">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1AD4B404" w14:textId="77777777" w:rsidR="00AE1F7D" w:rsidRPr="005B7EDA" w:rsidRDefault="00907B19" w:rsidP="00AE1F7D">
      <w:pPr>
        <w:pStyle w:val="ListParagraph"/>
        <w:numPr>
          <w:ilvl w:val="0"/>
          <w:numId w:val="8"/>
        </w:numPr>
        <w:spacing w:after="0" w:line="240" w:lineRule="auto"/>
        <w:rPr>
          <w:rFonts w:ascii="Arial" w:eastAsia="Calibri" w:hAnsi="Arial" w:cs="Times New Roman"/>
        </w:rPr>
      </w:pPr>
      <w:r w:rsidRPr="005B7EDA">
        <w:rPr>
          <w:rFonts w:ascii="Arial" w:eastAsia="Calibri" w:hAnsi="Arial" w:cs="Times New Roman"/>
        </w:rPr>
        <w:t>At Council on 30 September 2020, the Corporate Strategy was updated and refreshed to ensure that the Council can continue to meet the needs of the borough.</w:t>
      </w:r>
    </w:p>
    <w:p w14:paraId="1AD4B405" w14:textId="77777777" w:rsidR="00AE1F7D" w:rsidRPr="005B7EDA" w:rsidRDefault="007474A4" w:rsidP="00AE1F7D">
      <w:pPr>
        <w:pStyle w:val="ListParagraph"/>
        <w:spacing w:after="0" w:line="240" w:lineRule="auto"/>
        <w:rPr>
          <w:rFonts w:ascii="Arial" w:eastAsia="Calibri" w:hAnsi="Arial" w:cs="Times New Roman"/>
        </w:rPr>
      </w:pPr>
    </w:p>
    <w:p w14:paraId="1AD4B406" w14:textId="77777777" w:rsidR="00AE1F7D" w:rsidRPr="00F87D59" w:rsidRDefault="00907B19" w:rsidP="00AE1F7D">
      <w:pPr>
        <w:numPr>
          <w:ilvl w:val="0"/>
          <w:numId w:val="8"/>
        </w:numPr>
        <w:spacing w:after="0" w:line="240" w:lineRule="auto"/>
        <w:contextualSpacing/>
        <w:rPr>
          <w:rFonts w:ascii="Arial" w:eastAsia="Calibri" w:hAnsi="Arial" w:cs="Times New Roman"/>
        </w:rPr>
      </w:pPr>
      <w:r w:rsidRPr="00F87D59">
        <w:rPr>
          <w:rFonts w:ascii="Arial" w:eastAsia="Calibri" w:hAnsi="Arial" w:cs="Times New Roman"/>
        </w:rPr>
        <w:t>The four priorities identified in the strategy are:</w:t>
      </w:r>
    </w:p>
    <w:p w14:paraId="1AD4B407" w14:textId="77777777" w:rsidR="00AE1F7D" w:rsidRPr="00F87D59" w:rsidRDefault="00907B19" w:rsidP="00AE1F7D">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An exemplary council,</w:t>
      </w:r>
    </w:p>
    <w:p w14:paraId="1AD4B408" w14:textId="77777777" w:rsidR="00AE1F7D" w:rsidRPr="00F87D59" w:rsidRDefault="00907B19" w:rsidP="00AE1F7D">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Thriving communities,</w:t>
      </w:r>
    </w:p>
    <w:p w14:paraId="1AD4B409" w14:textId="77777777" w:rsidR="00AE1F7D" w:rsidRPr="00F87D59" w:rsidRDefault="00907B19" w:rsidP="00AE1F7D">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A fair local economy that works for everyone,</w:t>
      </w:r>
    </w:p>
    <w:p w14:paraId="1AD4B40A" w14:textId="77777777" w:rsidR="00AE1F7D" w:rsidRPr="00F87D59" w:rsidRDefault="00907B19" w:rsidP="00AE1F7D">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Good homes, green spaces, healthy places.</w:t>
      </w:r>
    </w:p>
    <w:p w14:paraId="1AD4B40B" w14:textId="77777777" w:rsidR="00AE1F7D" w:rsidRPr="00F87D59" w:rsidRDefault="007474A4" w:rsidP="00AE1F7D">
      <w:pPr>
        <w:spacing w:after="0" w:line="240" w:lineRule="auto"/>
        <w:ind w:left="720"/>
        <w:jc w:val="both"/>
        <w:rPr>
          <w:rFonts w:cstheme="minorHAnsi"/>
          <w:bCs/>
          <w:i/>
        </w:rPr>
      </w:pPr>
    </w:p>
    <w:p w14:paraId="1AD4B40C" w14:textId="77777777" w:rsidR="00AE1F7D" w:rsidRPr="00F87D59" w:rsidRDefault="00907B19" w:rsidP="00AE1F7D">
      <w:pPr>
        <w:pStyle w:val="ListParagraph"/>
        <w:numPr>
          <w:ilvl w:val="0"/>
          <w:numId w:val="8"/>
        </w:numPr>
        <w:spacing w:after="0" w:line="240" w:lineRule="auto"/>
        <w:rPr>
          <w:rFonts w:ascii="Arial" w:eastAsia="Calibri" w:hAnsi="Arial" w:cs="Times New Roman"/>
        </w:rPr>
      </w:pPr>
      <w:r w:rsidRPr="00F87D59">
        <w:rPr>
          <w:rFonts w:ascii="Arial" w:eastAsia="Calibri" w:hAnsi="Arial" w:cs="Times New Roman"/>
        </w:rPr>
        <w:t xml:space="preserve">Activity and resources are targeted towards 14 priority projects which are delivered over a period of 12-18 months and measured using 24 performance indicators. This report provides the status of the projects and measures at the end of quarter </w:t>
      </w:r>
      <w:r>
        <w:rPr>
          <w:rFonts w:ascii="Arial" w:eastAsia="Calibri" w:hAnsi="Arial" w:cs="Times New Roman"/>
        </w:rPr>
        <w:t>two, 2021-22</w:t>
      </w:r>
      <w:r w:rsidRPr="00F87D59">
        <w:rPr>
          <w:rFonts w:ascii="Arial" w:eastAsia="Calibri" w:hAnsi="Arial" w:cs="Times New Roman"/>
        </w:rPr>
        <w:t>.</w:t>
      </w:r>
    </w:p>
    <w:p w14:paraId="1AD4B40D" w14:textId="77777777" w:rsidR="00AE1F7D" w:rsidRPr="00F87D59" w:rsidRDefault="007474A4" w:rsidP="00AE1F7D">
      <w:pPr>
        <w:spacing w:after="0" w:line="240" w:lineRule="auto"/>
        <w:ind w:left="720"/>
        <w:jc w:val="both"/>
        <w:rPr>
          <w:rFonts w:cstheme="minorHAnsi"/>
          <w:bCs/>
          <w:i/>
        </w:rPr>
      </w:pPr>
    </w:p>
    <w:p w14:paraId="1AD4B40E" w14:textId="77777777" w:rsidR="00AE1F7D" w:rsidRPr="00F87D59" w:rsidRDefault="00907B19" w:rsidP="00AE1F7D">
      <w:pPr>
        <w:numPr>
          <w:ilvl w:val="0"/>
          <w:numId w:val="8"/>
        </w:numPr>
        <w:spacing w:after="0" w:line="240" w:lineRule="auto"/>
        <w:contextualSpacing/>
        <w:rPr>
          <w:rFonts w:ascii="Arial" w:eastAsia="Calibri" w:hAnsi="Arial" w:cs="Times New Roman"/>
        </w:rPr>
      </w:pPr>
      <w:r w:rsidRPr="00F87D59">
        <w:rPr>
          <w:rFonts w:ascii="Arial" w:eastAsia="Calibri" w:hAnsi="Arial" w:cs="Times New Roman"/>
        </w:rPr>
        <w:t>A colour rating system is used to indicate status whereby:</w:t>
      </w:r>
    </w:p>
    <w:p w14:paraId="1AD4B40F" w14:textId="77777777" w:rsidR="00AE1F7D" w:rsidRPr="00E54FF6" w:rsidRDefault="00907B19" w:rsidP="00AE1F7D">
      <w:pPr>
        <w:pStyle w:val="ListParagraph"/>
        <w:spacing w:after="0" w:line="240" w:lineRule="auto"/>
        <w:ind w:left="360"/>
        <w:jc w:val="both"/>
        <w:rPr>
          <w:rFonts w:cstheme="minorHAnsi"/>
          <w:bCs/>
          <w:iCs/>
        </w:rPr>
      </w:pPr>
      <w:r w:rsidRPr="00E54FF6">
        <w:rPr>
          <w:rFonts w:cstheme="minorHAnsi"/>
          <w:bCs/>
          <w:iCs/>
        </w:rPr>
        <w:t xml:space="preserve"> </w:t>
      </w:r>
    </w:p>
    <w:p w14:paraId="1AD4B410" w14:textId="77777777" w:rsidR="00AE1F7D" w:rsidRDefault="00907B19" w:rsidP="00AE1F7D">
      <w:pPr>
        <w:widowControl w:val="0"/>
        <w:spacing w:after="0" w:line="240" w:lineRule="auto"/>
        <w:ind w:firstLine="709"/>
        <w:outlineLvl w:val="0"/>
        <w:rPr>
          <w:rFonts w:ascii="Arial" w:eastAsia="Times New Roman" w:hAnsi="Arial" w:cs="Times New Roman"/>
          <w:b/>
          <w:lang w:eastAsia="en-GB"/>
        </w:rPr>
      </w:pPr>
      <w:r w:rsidRPr="001A3941">
        <w:rPr>
          <w:rFonts w:ascii="Arial" w:eastAsia="Times New Roman" w:hAnsi="Arial" w:cs="Times New Roman"/>
          <w:b/>
          <w:lang w:eastAsia="en-GB"/>
        </w:rPr>
        <w:t>Projects</w:t>
      </w:r>
    </w:p>
    <w:p w14:paraId="1AD4B411" w14:textId="77777777" w:rsidR="00AE1F7D" w:rsidRDefault="007474A4" w:rsidP="00AE1F7D">
      <w:pPr>
        <w:widowControl w:val="0"/>
        <w:spacing w:after="0" w:line="240" w:lineRule="auto"/>
        <w:ind w:firstLine="709"/>
        <w:outlineLvl w:val="0"/>
        <w:rPr>
          <w:rFonts w:ascii="Arial" w:eastAsia="Times New Roman" w:hAnsi="Arial" w:cs="Times New Roman"/>
          <w:b/>
          <w:lang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6913"/>
      </w:tblGrid>
      <w:tr w:rsidR="00066063" w14:paraId="1AD4B414" w14:textId="77777777" w:rsidTr="00AE1F7D">
        <w:trPr>
          <w:trHeight w:val="251"/>
        </w:trPr>
        <w:tc>
          <w:tcPr>
            <w:tcW w:w="1023" w:type="dxa"/>
            <w:shd w:val="clear" w:color="auto" w:fill="auto"/>
            <w:vAlign w:val="center"/>
          </w:tcPr>
          <w:p w14:paraId="1AD4B412" w14:textId="77777777" w:rsidR="00AE1F7D" w:rsidRPr="001A3941" w:rsidRDefault="00907B19" w:rsidP="00AE1F7D">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0000"/>
              </w:rPr>
              <w:t>RED</w:t>
            </w:r>
          </w:p>
        </w:tc>
        <w:tc>
          <w:tcPr>
            <w:tcW w:w="6913" w:type="dxa"/>
            <w:shd w:val="clear" w:color="auto" w:fill="auto"/>
            <w:vAlign w:val="center"/>
          </w:tcPr>
          <w:p w14:paraId="1AD4B413" w14:textId="77777777" w:rsidR="00AE1F7D" w:rsidRPr="001A3941" w:rsidRDefault="00907B19" w:rsidP="00AE1F7D">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Off track</w:t>
            </w:r>
          </w:p>
        </w:tc>
      </w:tr>
      <w:tr w:rsidR="00066063" w14:paraId="1AD4B417" w14:textId="77777777" w:rsidTr="00AE1F7D">
        <w:trPr>
          <w:trHeight w:val="251"/>
        </w:trPr>
        <w:tc>
          <w:tcPr>
            <w:tcW w:w="1023" w:type="dxa"/>
            <w:shd w:val="clear" w:color="auto" w:fill="auto"/>
            <w:vAlign w:val="center"/>
          </w:tcPr>
          <w:p w14:paraId="1AD4B415" w14:textId="77777777" w:rsidR="00AE1F7D" w:rsidRPr="001A3941" w:rsidRDefault="00907B19" w:rsidP="00AE1F7D">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C000"/>
              </w:rPr>
              <w:t>AMBER</w:t>
            </w:r>
          </w:p>
        </w:tc>
        <w:tc>
          <w:tcPr>
            <w:tcW w:w="6913" w:type="dxa"/>
            <w:shd w:val="clear" w:color="auto" w:fill="auto"/>
            <w:vAlign w:val="center"/>
          </w:tcPr>
          <w:p w14:paraId="1AD4B416" w14:textId="77777777" w:rsidR="00AE1F7D" w:rsidRPr="001A3941" w:rsidRDefault="00907B19" w:rsidP="00AE1F7D">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Forecast delays or concerns, an early warning of issues</w:t>
            </w:r>
          </w:p>
        </w:tc>
      </w:tr>
      <w:tr w:rsidR="00066063" w14:paraId="1AD4B41A" w14:textId="77777777" w:rsidTr="00AE1F7D">
        <w:trPr>
          <w:trHeight w:val="181"/>
        </w:trPr>
        <w:tc>
          <w:tcPr>
            <w:tcW w:w="1023" w:type="dxa"/>
            <w:shd w:val="clear" w:color="auto" w:fill="auto"/>
            <w:vAlign w:val="center"/>
          </w:tcPr>
          <w:p w14:paraId="1AD4B418" w14:textId="77777777" w:rsidR="00AE1F7D" w:rsidRPr="001A3941" w:rsidRDefault="00907B19" w:rsidP="00AE1F7D">
            <w:pPr>
              <w:widowControl w:val="0"/>
              <w:spacing w:after="0" w:line="256" w:lineRule="auto"/>
              <w:contextualSpacing/>
              <w:jc w:val="center"/>
              <w:outlineLvl w:val="0"/>
              <w:rPr>
                <w:rFonts w:ascii="Arial" w:eastAsia="Calibri" w:hAnsi="Arial" w:cs="Times New Roman"/>
                <w:b/>
                <w:color w:val="FF0000"/>
              </w:rPr>
            </w:pPr>
            <w:r w:rsidRPr="001A3941">
              <w:rPr>
                <w:rFonts w:ascii="Arial" w:eastAsia="Calibri" w:hAnsi="Arial" w:cs="Times New Roman"/>
                <w:b/>
                <w:color w:val="00B050"/>
              </w:rPr>
              <w:t>GREEN</w:t>
            </w:r>
          </w:p>
        </w:tc>
        <w:tc>
          <w:tcPr>
            <w:tcW w:w="6913" w:type="dxa"/>
            <w:shd w:val="clear" w:color="auto" w:fill="auto"/>
            <w:vAlign w:val="center"/>
          </w:tcPr>
          <w:p w14:paraId="1AD4B419" w14:textId="77777777" w:rsidR="00AE1F7D" w:rsidRPr="001A3941" w:rsidRDefault="00907B19" w:rsidP="00AE1F7D">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On track and progressing as planning</w:t>
            </w:r>
          </w:p>
        </w:tc>
      </w:tr>
    </w:tbl>
    <w:p w14:paraId="1AD4B41B" w14:textId="77777777" w:rsidR="00AE1F7D" w:rsidRDefault="007474A4" w:rsidP="00AE1F7D">
      <w:pPr>
        <w:spacing w:after="0" w:line="240" w:lineRule="auto"/>
        <w:ind w:firstLine="709"/>
        <w:rPr>
          <w:rFonts w:ascii="Arial" w:eastAsia="Times New Roman" w:hAnsi="Arial" w:cs="Times New Roman"/>
          <w:b/>
          <w:szCs w:val="20"/>
          <w:lang w:eastAsia="en-GB"/>
        </w:rPr>
      </w:pPr>
    </w:p>
    <w:p w14:paraId="1AD4B41C" w14:textId="77777777" w:rsidR="00AE1F7D" w:rsidRDefault="00907B19" w:rsidP="00AE1F7D">
      <w:pPr>
        <w:spacing w:after="0" w:line="240" w:lineRule="auto"/>
        <w:ind w:firstLine="709"/>
        <w:rPr>
          <w:rFonts w:ascii="Arial" w:eastAsia="Times New Roman" w:hAnsi="Arial" w:cs="Times New Roman"/>
          <w:b/>
          <w:szCs w:val="20"/>
          <w:lang w:eastAsia="en-GB"/>
        </w:rPr>
      </w:pPr>
      <w:r w:rsidRPr="001A3941">
        <w:rPr>
          <w:rFonts w:ascii="Arial" w:eastAsia="Times New Roman" w:hAnsi="Arial" w:cs="Times New Roman"/>
          <w:b/>
          <w:szCs w:val="20"/>
          <w:lang w:eastAsia="en-GB"/>
        </w:rPr>
        <w:t>Performance Indicators</w:t>
      </w:r>
    </w:p>
    <w:p w14:paraId="1AD4B41D" w14:textId="77777777" w:rsidR="00AE1F7D" w:rsidRPr="001A3941" w:rsidRDefault="007474A4" w:rsidP="00AE1F7D">
      <w:pPr>
        <w:spacing w:after="0" w:line="240" w:lineRule="auto"/>
        <w:ind w:firstLine="709"/>
        <w:rPr>
          <w:rFonts w:ascii="Arial" w:eastAsia="Times New Roman" w:hAnsi="Arial" w:cs="Times New Roman"/>
          <w:b/>
          <w:szCs w:val="20"/>
          <w:lang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968"/>
      </w:tblGrid>
      <w:tr w:rsidR="00066063" w14:paraId="1AD4B420" w14:textId="77777777" w:rsidTr="00AE1F7D">
        <w:trPr>
          <w:trHeight w:val="145"/>
        </w:trPr>
        <w:tc>
          <w:tcPr>
            <w:tcW w:w="1003" w:type="dxa"/>
            <w:shd w:val="clear" w:color="auto" w:fill="auto"/>
            <w:vAlign w:val="center"/>
          </w:tcPr>
          <w:p w14:paraId="1AD4B41E" w14:textId="77777777" w:rsidR="00AE1F7D" w:rsidRPr="001A3941" w:rsidRDefault="00907B19" w:rsidP="00AE1F7D">
            <w:pPr>
              <w:widowControl w:val="0"/>
              <w:spacing w:after="0" w:line="256" w:lineRule="auto"/>
              <w:contextualSpacing/>
              <w:jc w:val="center"/>
              <w:outlineLvl w:val="0"/>
              <w:rPr>
                <w:rFonts w:ascii="Arial" w:eastAsia="Calibri" w:hAnsi="Arial" w:cs="Times New Roman"/>
                <w:b/>
                <w:color w:val="00B050"/>
              </w:rPr>
            </w:pPr>
            <w:r w:rsidRPr="001A3941">
              <w:rPr>
                <w:rFonts w:ascii="Wingdings 3" w:eastAsia="Calibri" w:hAnsi="Wingdings 3" w:cs="Times New Roman"/>
                <w:color w:val="FF0000"/>
                <w:sz w:val="32"/>
              </w:rPr>
              <w:sym w:font="Wingdings 3" w:char="F070"/>
            </w:r>
          </w:p>
        </w:tc>
        <w:tc>
          <w:tcPr>
            <w:tcW w:w="7509" w:type="dxa"/>
            <w:shd w:val="clear" w:color="auto" w:fill="auto"/>
            <w:vAlign w:val="center"/>
          </w:tcPr>
          <w:p w14:paraId="1AD4B41F" w14:textId="77777777" w:rsidR="00AE1F7D" w:rsidRPr="001A3941" w:rsidRDefault="00907B19" w:rsidP="00AE1F7D">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outside threshold</w:t>
            </w:r>
          </w:p>
        </w:tc>
      </w:tr>
      <w:tr w:rsidR="00066063" w14:paraId="1AD4B423" w14:textId="77777777" w:rsidTr="00AE1F7D">
        <w:trPr>
          <w:trHeight w:val="145"/>
        </w:trPr>
        <w:tc>
          <w:tcPr>
            <w:tcW w:w="1003" w:type="dxa"/>
            <w:shd w:val="clear" w:color="auto" w:fill="auto"/>
            <w:vAlign w:val="center"/>
          </w:tcPr>
          <w:p w14:paraId="1AD4B421" w14:textId="77777777" w:rsidR="00AE1F7D" w:rsidRPr="001A3941" w:rsidRDefault="00907B19" w:rsidP="00AE1F7D">
            <w:pPr>
              <w:widowControl w:val="0"/>
              <w:spacing w:after="0" w:line="256" w:lineRule="auto"/>
              <w:contextualSpacing/>
              <w:jc w:val="center"/>
              <w:outlineLvl w:val="0"/>
              <w:rPr>
                <w:rFonts w:ascii="Arial" w:eastAsia="Calibri" w:hAnsi="Arial" w:cs="Times New Roman"/>
                <w:b/>
                <w:color w:val="5B9BD5"/>
              </w:rPr>
            </w:pPr>
            <w:r w:rsidRPr="001A3941">
              <w:rPr>
                <w:rFonts w:ascii="Wingdings" w:eastAsia="Calibri" w:hAnsi="Wingdings" w:cs="Times New Roman"/>
                <w:color w:val="5B9BD5"/>
                <w:sz w:val="44"/>
              </w:rPr>
              <w:sym w:font="Wingdings" w:char="F06C"/>
            </w:r>
          </w:p>
        </w:tc>
        <w:tc>
          <w:tcPr>
            <w:tcW w:w="7509" w:type="dxa"/>
            <w:shd w:val="clear" w:color="auto" w:fill="auto"/>
            <w:vAlign w:val="center"/>
          </w:tcPr>
          <w:p w14:paraId="1AD4B422" w14:textId="77777777" w:rsidR="00AE1F7D" w:rsidRPr="001A3941" w:rsidRDefault="00907B19" w:rsidP="00AE1F7D">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but within threshold (5%)</w:t>
            </w:r>
          </w:p>
        </w:tc>
      </w:tr>
      <w:tr w:rsidR="00066063" w14:paraId="1AD4B426" w14:textId="77777777" w:rsidTr="00AE1F7D">
        <w:trPr>
          <w:trHeight w:val="70"/>
        </w:trPr>
        <w:tc>
          <w:tcPr>
            <w:tcW w:w="1003" w:type="dxa"/>
            <w:shd w:val="clear" w:color="auto" w:fill="auto"/>
            <w:vAlign w:val="center"/>
          </w:tcPr>
          <w:p w14:paraId="1AD4B424" w14:textId="77777777" w:rsidR="00AE1F7D" w:rsidRPr="001A3941" w:rsidRDefault="00907B19" w:rsidP="00AE1F7D">
            <w:pPr>
              <w:widowControl w:val="0"/>
              <w:spacing w:after="0" w:line="256" w:lineRule="auto"/>
              <w:contextualSpacing/>
              <w:jc w:val="center"/>
              <w:outlineLvl w:val="0"/>
              <w:rPr>
                <w:rFonts w:ascii="Arial" w:eastAsia="Calibri" w:hAnsi="Arial" w:cs="Times New Roman"/>
                <w:b/>
                <w:color w:val="00B050"/>
              </w:rPr>
            </w:pPr>
            <w:r w:rsidRPr="001A3941">
              <w:rPr>
                <w:rFonts w:ascii="Wingdings" w:eastAsia="Calibri" w:hAnsi="Wingdings" w:cs="Times New Roman"/>
                <w:color w:val="00B050"/>
                <w:sz w:val="44"/>
              </w:rPr>
              <w:sym w:font="Wingdings" w:char="F0AB"/>
            </w:r>
          </w:p>
        </w:tc>
        <w:tc>
          <w:tcPr>
            <w:tcW w:w="7509" w:type="dxa"/>
            <w:shd w:val="clear" w:color="auto" w:fill="auto"/>
            <w:vAlign w:val="center"/>
          </w:tcPr>
          <w:p w14:paraId="1AD4B425" w14:textId="77777777" w:rsidR="00AE1F7D" w:rsidRPr="001A3941" w:rsidRDefault="00907B19" w:rsidP="00AE1F7D">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Performance is better than target</w:t>
            </w:r>
          </w:p>
        </w:tc>
      </w:tr>
    </w:tbl>
    <w:p w14:paraId="1AD4B427" w14:textId="77777777" w:rsidR="00AE1F7D" w:rsidRDefault="007474A4" w:rsidP="00AE1F7D">
      <w:pPr>
        <w:spacing w:after="0" w:line="240" w:lineRule="auto"/>
        <w:ind w:left="720"/>
        <w:jc w:val="both"/>
        <w:rPr>
          <w:rFonts w:cstheme="minorHAnsi"/>
          <w:bCs/>
          <w:i/>
        </w:rPr>
      </w:pPr>
    </w:p>
    <w:p w14:paraId="1AD4B428" w14:textId="77777777" w:rsidR="00AE1F7D" w:rsidRDefault="007474A4" w:rsidP="00AE1F7D">
      <w:pPr>
        <w:spacing w:after="0" w:line="240" w:lineRule="auto"/>
        <w:ind w:left="720"/>
        <w:jc w:val="both"/>
        <w:rPr>
          <w:rFonts w:cstheme="minorHAnsi"/>
          <w:bCs/>
          <w:i/>
        </w:rPr>
      </w:pPr>
    </w:p>
    <w:p w14:paraId="1AD4B429" w14:textId="77777777" w:rsidR="00AE1F7D" w:rsidRDefault="007474A4" w:rsidP="00AE1F7D">
      <w:pPr>
        <w:spacing w:after="0" w:line="240" w:lineRule="auto"/>
        <w:jc w:val="both"/>
        <w:rPr>
          <w:rFonts w:cstheme="minorHAnsi"/>
          <w:bCs/>
          <w:i/>
        </w:rPr>
        <w:sectPr w:rsidR="00AE1F7D" w:rsidSect="00AE1F7D">
          <w:type w:val="continuous"/>
          <w:pgSz w:w="11906" w:h="16838"/>
          <w:pgMar w:top="1440" w:right="1440" w:bottom="1440" w:left="1440" w:header="708" w:footer="708" w:gutter="0"/>
          <w:cols w:space="708"/>
          <w:docGrid w:linePitch="360"/>
        </w:sectPr>
      </w:pPr>
    </w:p>
    <w:tbl>
      <w:tblPr>
        <w:tblpPr w:leftFromText="180" w:rightFromText="180" w:vertAnchor="page" w:horzAnchor="margin" w:tblpXSpec="center" w:tblpY="3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117"/>
      </w:tblGrid>
      <w:tr w:rsidR="00066063" w14:paraId="1AD4B42D" w14:textId="77777777" w:rsidTr="00AE1F7D">
        <w:trPr>
          <w:trHeight w:val="1841"/>
        </w:trPr>
        <w:tc>
          <w:tcPr>
            <w:tcW w:w="9351" w:type="dxa"/>
            <w:gridSpan w:val="3"/>
            <w:tcBorders>
              <w:top w:val="nil"/>
              <w:left w:val="nil"/>
              <w:right w:val="nil"/>
            </w:tcBorders>
            <w:shd w:val="clear" w:color="auto" w:fill="auto"/>
          </w:tcPr>
          <w:p w14:paraId="1AD4B42A" w14:textId="77777777" w:rsidR="00AE1F7D" w:rsidRPr="00CD4177" w:rsidRDefault="00907B19" w:rsidP="00AE1F7D">
            <w:pPr>
              <w:pStyle w:val="ListParagraph"/>
              <w:widowControl w:val="0"/>
              <w:spacing w:after="0"/>
              <w:ind w:left="0" w:firstLine="208"/>
              <w:outlineLvl w:val="0"/>
              <w:rPr>
                <w:rFonts w:cs="Arial"/>
                <w:b/>
              </w:rPr>
            </w:pPr>
            <w:bookmarkStart w:id="2" w:name="_Hlk54077637"/>
            <w:r w:rsidRPr="00CD4177">
              <w:rPr>
                <w:rFonts w:cs="Arial"/>
                <w:b/>
                <w:noProof/>
              </w:rPr>
              <w:lastRenderedPageBreak/>
              <w:drawing>
                <wp:inline distT="0" distB="0" distL="0" distR="0" wp14:anchorId="1AD4B67B" wp14:editId="1AD4B67C">
                  <wp:extent cx="1085850" cy="1314450"/>
                  <wp:effectExtent l="0" t="0" r="0" b="0"/>
                  <wp:docPr id="2" name="Picture 2"/>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1495336405" name="Picture 1"/>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b="-22183"/>
                          <a:stretch>
                            <a:fillRect/>
                          </a:stretch>
                        </pic:blipFill>
                        <pic:spPr bwMode="auto">
                          <a:xfrm>
                            <a:off x="0" y="0"/>
                            <a:ext cx="1085850" cy="1314450"/>
                          </a:xfrm>
                          <a:prstGeom prst="rect">
                            <a:avLst/>
                          </a:prstGeom>
                          <a:noFill/>
                          <a:ln>
                            <a:noFill/>
                          </a:ln>
                        </pic:spPr>
                      </pic:pic>
                    </a:graphicData>
                  </a:graphic>
                </wp:inline>
              </w:drawing>
            </w:r>
            <w:r w:rsidRPr="00CD4177">
              <w:rPr>
                <w:rFonts w:cs="Arial"/>
                <w:b/>
              </w:rPr>
              <w:t xml:space="preserve"> </w:t>
            </w:r>
            <w:r w:rsidRPr="00CD4177">
              <w:rPr>
                <w:rFonts w:cs="Arial"/>
                <w:b/>
                <w:noProof/>
              </w:rPr>
              <w:drawing>
                <wp:inline distT="0" distB="0" distL="0" distR="0" wp14:anchorId="1AD4B67D" wp14:editId="1AD4B67E">
                  <wp:extent cx="26384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2202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38425" cy="1133475"/>
                          </a:xfrm>
                          <a:prstGeom prst="rect">
                            <a:avLst/>
                          </a:prstGeom>
                          <a:noFill/>
                          <a:ln>
                            <a:noFill/>
                          </a:ln>
                        </pic:spPr>
                      </pic:pic>
                    </a:graphicData>
                  </a:graphic>
                </wp:inline>
              </w:drawing>
            </w:r>
          </w:p>
          <w:p w14:paraId="1AD4B42B" w14:textId="77777777" w:rsidR="00AE1F7D" w:rsidRDefault="00907B19" w:rsidP="00AE1F7D">
            <w:pPr>
              <w:pStyle w:val="ListParagraph"/>
              <w:widowControl w:val="0"/>
              <w:spacing w:after="0"/>
              <w:ind w:left="0"/>
              <w:outlineLvl w:val="0"/>
              <w:rPr>
                <w:rFonts w:cs="Arial"/>
                <w:b/>
                <w:color w:val="0094C8"/>
              </w:rPr>
            </w:pPr>
            <w:r w:rsidRPr="00552B66">
              <w:rPr>
                <w:rFonts w:cs="Arial"/>
                <w:b/>
                <w:color w:val="4E95C7"/>
              </w:rPr>
              <w:t>A COUNCIL THAT</w:t>
            </w:r>
            <w:r w:rsidRPr="00CD4177">
              <w:rPr>
                <w:rFonts w:cs="Arial"/>
                <w:b/>
                <w:color w:val="0094C8"/>
              </w:rPr>
              <w:t>:</w:t>
            </w:r>
          </w:p>
          <w:p w14:paraId="1AD4B42C" w14:textId="77777777" w:rsidR="00AE1F7D" w:rsidRPr="00CD4177" w:rsidRDefault="007474A4" w:rsidP="00AE1F7D">
            <w:pPr>
              <w:pStyle w:val="ListParagraph"/>
              <w:widowControl w:val="0"/>
              <w:spacing w:after="0"/>
              <w:ind w:left="0"/>
              <w:outlineLvl w:val="0"/>
              <w:rPr>
                <w:rFonts w:cs="Arial"/>
                <w:b/>
                <w:color w:val="0094C8"/>
              </w:rPr>
            </w:pPr>
          </w:p>
        </w:tc>
      </w:tr>
      <w:tr w:rsidR="00066063" w14:paraId="1AD4B431" w14:textId="77777777" w:rsidTr="00AE1F7D">
        <w:trPr>
          <w:trHeight w:val="855"/>
        </w:trPr>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1AD4B42E" w14:textId="77777777" w:rsidR="00AE1F7D" w:rsidRPr="001D2EA5" w:rsidRDefault="00907B19" w:rsidP="00AE1F7D">
            <w:pPr>
              <w:rPr>
                <w:b/>
                <w:bCs/>
                <w:color w:val="4E95C7"/>
              </w:rPr>
            </w:pPr>
            <w:r w:rsidRPr="001D2EA5">
              <w:rPr>
                <w:b/>
                <w:bCs/>
                <w:color w:val="4E95C7"/>
              </w:rPr>
              <w:t>Delivers high performing services that represent value for money</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1AD4B42F" w14:textId="77777777" w:rsidR="00AE1F7D" w:rsidRPr="001D2EA5" w:rsidRDefault="00907B19" w:rsidP="00AE1F7D">
            <w:pPr>
              <w:rPr>
                <w:b/>
                <w:bCs/>
                <w:color w:val="4E95C7"/>
              </w:rPr>
            </w:pPr>
            <w:r w:rsidRPr="001D2EA5">
              <w:rPr>
                <w:b/>
                <w:bCs/>
                <w:color w:val="4E95C7"/>
              </w:rPr>
              <w:t>Understand the community and work with partners to make things better</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1AD4B430" w14:textId="77777777" w:rsidR="00AE1F7D" w:rsidRPr="001D2EA5" w:rsidRDefault="00907B19" w:rsidP="00AE1F7D">
            <w:pPr>
              <w:rPr>
                <w:b/>
                <w:bCs/>
                <w:color w:val="4E95C7"/>
              </w:rPr>
            </w:pPr>
            <w:r w:rsidRPr="001D2EA5">
              <w:rPr>
                <w:b/>
                <w:bCs/>
                <w:color w:val="4E95C7"/>
              </w:rPr>
              <w:t>Is open and transparent in its activities</w:t>
            </w:r>
          </w:p>
        </w:tc>
      </w:tr>
    </w:tbl>
    <w:bookmarkEnd w:id="2"/>
    <w:p w14:paraId="1AD4B432" w14:textId="77777777" w:rsidR="00AE1F7D" w:rsidRPr="00460D79" w:rsidRDefault="00907B19" w:rsidP="00AE1F7D">
      <w:pPr>
        <w:pStyle w:val="Heading2"/>
        <w:spacing w:after="0" w:afterAutospacing="0"/>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1AD4B433" w14:textId="77777777" w:rsidR="00AE1F7D" w:rsidRDefault="00907B19" w:rsidP="00AE1F7D">
      <w:pPr>
        <w:pStyle w:val="ListParagraph"/>
        <w:numPr>
          <w:ilvl w:val="0"/>
          <w:numId w:val="8"/>
        </w:numPr>
        <w:spacing w:after="0" w:line="240" w:lineRule="auto"/>
        <w:rPr>
          <w:rFonts w:ascii="Arial" w:eastAsia="Calibri" w:hAnsi="Arial" w:cs="Times New Roman"/>
        </w:rPr>
      </w:pPr>
      <w:r w:rsidRPr="00460D79">
        <w:rPr>
          <w:rFonts w:ascii="Arial" w:eastAsia="Calibri" w:hAnsi="Arial" w:cs="Times New Roman"/>
        </w:rPr>
        <w:t>The Annual Governance Statement (AGS) action plan</w:t>
      </w:r>
      <w:r>
        <w:rPr>
          <w:rFonts w:ascii="Arial" w:eastAsia="Calibri" w:hAnsi="Arial" w:cs="Times New Roman"/>
        </w:rPr>
        <w:t xml:space="preserve"> project</w:t>
      </w:r>
      <w:r w:rsidRPr="00460D79">
        <w:rPr>
          <w:rFonts w:ascii="Arial" w:eastAsia="Calibri" w:hAnsi="Arial" w:cs="Times New Roman"/>
        </w:rPr>
        <w:t xml:space="preserve"> </w:t>
      </w:r>
      <w:r>
        <w:rPr>
          <w:rFonts w:ascii="Arial" w:eastAsia="Calibri" w:hAnsi="Arial" w:cs="Times New Roman"/>
        </w:rPr>
        <w:t>has been completed with all key milestone being delivered.</w:t>
      </w:r>
      <w:r w:rsidRPr="00D30C27">
        <w:rPr>
          <w:rFonts w:ascii="Arial" w:eastAsia="Calibri" w:hAnsi="Arial" w:cs="Times New Roman"/>
        </w:rPr>
        <w:t xml:space="preserve">  </w:t>
      </w:r>
      <w:r>
        <w:rPr>
          <w:rFonts w:ascii="Arial" w:eastAsia="Calibri" w:hAnsi="Arial" w:cs="Times New Roman"/>
        </w:rPr>
        <w:t xml:space="preserve">The project has delivered an updated  constitution; refreshed governance, performance management and human resources policies; a consistent approach to community engagement and consultation through the Consultation Framework and Community Engagement Strategy; and a </w:t>
      </w:r>
      <w:r w:rsidRPr="00A7475E">
        <w:rPr>
          <w:rFonts w:ascii="Arial" w:eastAsia="Calibri" w:hAnsi="Arial" w:cs="Times New Roman"/>
        </w:rPr>
        <w:t>robust approach to managing strategic contracts and partnerships</w:t>
      </w:r>
      <w:r>
        <w:rPr>
          <w:rFonts w:ascii="Arial" w:eastAsia="Calibri" w:hAnsi="Arial" w:cs="Times New Roman"/>
        </w:rPr>
        <w:t xml:space="preserve"> through the Partnership Framework. Overall, the actions in place will </w:t>
      </w:r>
      <w:r w:rsidRPr="002C72FC">
        <w:t xml:space="preserve">ensure that the </w:t>
      </w:r>
      <w:r>
        <w:t>council</w:t>
      </w:r>
      <w:r w:rsidRPr="002C72FC">
        <w:t xml:space="preserve"> is </w:t>
      </w:r>
      <w:r>
        <w:t xml:space="preserve">a </w:t>
      </w:r>
      <w:r w:rsidRPr="002C72FC">
        <w:t>transparent</w:t>
      </w:r>
      <w:r>
        <w:t xml:space="preserve">, </w:t>
      </w:r>
      <w:r w:rsidRPr="002C72FC">
        <w:t>accountable</w:t>
      </w:r>
      <w:r>
        <w:t xml:space="preserve"> organisation</w:t>
      </w:r>
      <w:r w:rsidRPr="002C72FC">
        <w:t xml:space="preserve"> </w:t>
      </w:r>
      <w:r>
        <w:t>with an improved governance culture and environment.</w:t>
      </w:r>
    </w:p>
    <w:p w14:paraId="1AD4B434" w14:textId="77777777" w:rsidR="00AE1F7D" w:rsidRDefault="007474A4" w:rsidP="00AE1F7D">
      <w:pPr>
        <w:pStyle w:val="ListParagraph"/>
        <w:spacing w:after="0" w:line="240" w:lineRule="auto"/>
        <w:ind w:left="360"/>
        <w:rPr>
          <w:rFonts w:ascii="Arial" w:eastAsia="Calibri" w:hAnsi="Arial" w:cs="Times New Roman"/>
        </w:rPr>
      </w:pPr>
    </w:p>
    <w:p w14:paraId="1AD4B435" w14:textId="77777777" w:rsidR="00AE1F7D" w:rsidRDefault="00907B19" w:rsidP="00AE1F7D">
      <w:pPr>
        <w:pStyle w:val="ListParagraph"/>
        <w:numPr>
          <w:ilvl w:val="0"/>
          <w:numId w:val="8"/>
        </w:numPr>
        <w:spacing w:after="0" w:line="240" w:lineRule="auto"/>
        <w:rPr>
          <w:rFonts w:ascii="Arial" w:eastAsia="Calibri" w:hAnsi="Arial" w:cs="Times New Roman"/>
        </w:rPr>
      </w:pPr>
      <w:r>
        <w:rPr>
          <w:rFonts w:ascii="Arial" w:eastAsia="Calibri" w:hAnsi="Arial" w:cs="Times New Roman"/>
        </w:rPr>
        <w:t xml:space="preserve">Shared Services has progressed this quarter with the development of a shared Customer Service between South Ribble and Chorley Councils. The consultation for the customer services management structure has been completed and the initial review has been approved. The shared management structure has been implemented since September. Work has commenced on the development of the second stage of the customer service review, </w:t>
      </w:r>
      <w:r w:rsidRPr="00EC5059">
        <w:rPr>
          <w:rFonts w:ascii="Arial" w:eastAsia="Calibri" w:hAnsi="Arial" w:cs="Times New Roman"/>
        </w:rPr>
        <w:t>which will seek to implement a shared team structure.</w:t>
      </w:r>
      <w:r>
        <w:rPr>
          <w:rFonts w:ascii="Arial" w:eastAsia="Calibri" w:hAnsi="Arial" w:cs="Times New Roman"/>
        </w:rPr>
        <w:t xml:space="preserve">  The shared ICT service review proposals were presented to the Shared Services Joint Committee in August 2021. However, there has been slight delays as the consultation period was extended to allow the team more opportunity to provide feedback. T</w:t>
      </w:r>
      <w:r w:rsidRPr="005D4662">
        <w:rPr>
          <w:rFonts w:eastAsia="Calibri" w:cs="Arial"/>
          <w:bCs/>
        </w:rPr>
        <w:t>he final proposals</w:t>
      </w:r>
      <w:r>
        <w:rPr>
          <w:rFonts w:eastAsia="Calibri" w:cs="Arial"/>
          <w:bCs/>
        </w:rPr>
        <w:t xml:space="preserve"> for the ICT review</w:t>
      </w:r>
      <w:r w:rsidRPr="005D4662">
        <w:rPr>
          <w:rFonts w:eastAsia="Calibri" w:cs="Arial"/>
          <w:bCs/>
        </w:rPr>
        <w:t xml:space="preserve"> will be signed off in October</w:t>
      </w:r>
      <w:r>
        <w:rPr>
          <w:rFonts w:eastAsia="Calibri" w:cs="Arial"/>
          <w:bCs/>
        </w:rPr>
        <w:t xml:space="preserve"> 2021 and t</w:t>
      </w:r>
      <w:r w:rsidRPr="005D4662">
        <w:rPr>
          <w:rFonts w:eastAsia="Calibri" w:cs="Arial"/>
          <w:bCs/>
        </w:rPr>
        <w:t xml:space="preserve">he implementation of the review </w:t>
      </w:r>
      <w:r>
        <w:rPr>
          <w:rFonts w:eastAsia="Calibri" w:cs="Arial"/>
          <w:bCs/>
        </w:rPr>
        <w:t xml:space="preserve">is </w:t>
      </w:r>
      <w:r w:rsidRPr="005D4662">
        <w:rPr>
          <w:rFonts w:eastAsia="Calibri" w:cs="Arial"/>
          <w:bCs/>
        </w:rPr>
        <w:t xml:space="preserve">to be completed by </w:t>
      </w:r>
      <w:r>
        <w:rPr>
          <w:rFonts w:eastAsia="Calibri" w:cs="Arial"/>
          <w:bCs/>
        </w:rPr>
        <w:t>December 2021.</w:t>
      </w:r>
    </w:p>
    <w:p w14:paraId="1AD4B436" w14:textId="77777777" w:rsidR="00AE1F7D" w:rsidRPr="00D01B39" w:rsidRDefault="007474A4" w:rsidP="00AE1F7D">
      <w:pPr>
        <w:spacing w:after="0" w:line="240" w:lineRule="auto"/>
        <w:rPr>
          <w:rFonts w:ascii="Arial" w:eastAsia="Calibri" w:hAnsi="Arial" w:cs="Times New Roman"/>
        </w:rPr>
      </w:pPr>
    </w:p>
    <w:p w14:paraId="1AD4B437" w14:textId="77777777" w:rsidR="00AE1F7D" w:rsidRPr="00D01B39" w:rsidRDefault="00907B19" w:rsidP="00AE1F7D">
      <w:pPr>
        <w:pStyle w:val="ListParagraph"/>
        <w:numPr>
          <w:ilvl w:val="0"/>
          <w:numId w:val="8"/>
        </w:numPr>
        <w:spacing w:after="0" w:line="240" w:lineRule="auto"/>
        <w:rPr>
          <w:rFonts w:ascii="Arial" w:eastAsia="Calibri" w:hAnsi="Arial" w:cs="Times New Roman"/>
          <w:color w:val="FF0000"/>
        </w:rPr>
      </w:pPr>
      <w:r>
        <w:rPr>
          <w:rFonts w:ascii="Arial" w:eastAsia="Calibri" w:hAnsi="Arial" w:cs="Times New Roman"/>
        </w:rPr>
        <w:t>Despite resourcing challenges, t</w:t>
      </w:r>
      <w:r w:rsidRPr="00D01B39">
        <w:rPr>
          <w:rFonts w:ascii="Arial" w:eastAsia="Calibri" w:hAnsi="Arial" w:cs="Times New Roman"/>
        </w:rPr>
        <w:t>he delivery of the joint digital strategy has progressed in quarter two</w:t>
      </w:r>
      <w:r>
        <w:rPr>
          <w:rFonts w:ascii="Arial" w:eastAsia="Calibri" w:hAnsi="Arial" w:cs="Times New Roman"/>
        </w:rPr>
        <w:t xml:space="preserve">.  The progress made includes </w:t>
      </w:r>
      <w:r w:rsidRPr="00D01B39">
        <w:rPr>
          <w:rFonts w:ascii="Arial" w:eastAsia="Calibri" w:hAnsi="Arial" w:cs="Times New Roman"/>
        </w:rPr>
        <w:t>the implementation of a document management system for the Planning service, providing efficiencies and improved digital security to the service.</w:t>
      </w:r>
      <w:r w:rsidRPr="00D01B39">
        <w:rPr>
          <w:rFonts w:ascii="Arial" w:eastAsia="Times New Roman" w:hAnsi="Arial" w:cs="Arial"/>
          <w:lang w:val="en-US"/>
        </w:rPr>
        <w:t xml:space="preserve"> A review to automate processes for both Planning and Building Control and the alignment and adoption of best practice has commenced as part of Shared Services to drive improvements and efficiency in the way the service operates. Throughout the quarter</w:t>
      </w:r>
      <w:r>
        <w:rPr>
          <w:rFonts w:ascii="Arial" w:eastAsia="Times New Roman" w:hAnsi="Arial" w:cs="Arial"/>
          <w:lang w:val="en-US"/>
        </w:rPr>
        <w:t>,</w:t>
      </w:r>
      <w:r w:rsidRPr="00D01B39">
        <w:rPr>
          <w:rFonts w:ascii="Arial" w:eastAsia="Times New Roman" w:hAnsi="Arial" w:cs="Arial"/>
          <w:lang w:val="en-US"/>
        </w:rPr>
        <w:t xml:space="preserve"> weekly drop-in sessions have been delivered to </w:t>
      </w:r>
      <w:r>
        <w:rPr>
          <w:rFonts w:ascii="Arial" w:eastAsia="Times New Roman" w:hAnsi="Arial" w:cs="Arial"/>
          <w:lang w:val="en-US"/>
        </w:rPr>
        <w:t xml:space="preserve">support the move towards deploying SharePoint (cloud-based storage system).  The sessions have been aimed at providing users with the </w:t>
      </w:r>
      <w:r w:rsidRPr="00D01B39">
        <w:rPr>
          <w:rFonts w:ascii="Arial" w:eastAsia="Times New Roman" w:hAnsi="Arial" w:cs="Arial"/>
          <w:lang w:val="en-US"/>
        </w:rPr>
        <w:t xml:space="preserve">skills </w:t>
      </w:r>
      <w:r>
        <w:rPr>
          <w:rFonts w:ascii="Arial" w:eastAsia="Times New Roman" w:hAnsi="Arial" w:cs="Arial"/>
          <w:lang w:val="en-US"/>
        </w:rPr>
        <w:t>and knowledge as it is</w:t>
      </w:r>
      <w:r w:rsidRPr="00D01B39">
        <w:rPr>
          <w:rFonts w:ascii="Arial" w:eastAsia="Times New Roman" w:hAnsi="Arial" w:cs="Arial"/>
          <w:lang w:val="en-US"/>
        </w:rPr>
        <w:t xml:space="preserve"> rolled out</w:t>
      </w:r>
      <w:r>
        <w:rPr>
          <w:rFonts w:ascii="Arial" w:eastAsia="Times New Roman" w:hAnsi="Arial" w:cs="Arial"/>
          <w:lang w:val="en-US"/>
        </w:rPr>
        <w:t xml:space="preserve"> across the authorities</w:t>
      </w:r>
      <w:r w:rsidRPr="00D01B39">
        <w:rPr>
          <w:rFonts w:ascii="Arial" w:eastAsia="Times New Roman" w:hAnsi="Arial" w:cs="Arial"/>
          <w:lang w:val="en-US"/>
        </w:rPr>
        <w:t xml:space="preserve">.  The </w:t>
      </w:r>
      <w:r>
        <w:rPr>
          <w:rFonts w:ascii="Arial" w:eastAsia="Times New Roman" w:hAnsi="Arial" w:cs="Arial"/>
          <w:lang w:val="en-US"/>
        </w:rPr>
        <w:t xml:space="preserve">impact of the changes will be to enhance the way officers work and collaborate across both councils will be able </w:t>
      </w:r>
      <w:r w:rsidRPr="00D01B39">
        <w:rPr>
          <w:rFonts w:ascii="Arial" w:eastAsia="Times New Roman" w:hAnsi="Arial" w:cs="Arial"/>
          <w:lang w:val="en-US"/>
        </w:rPr>
        <w:t>to share data seamlessly</w:t>
      </w:r>
      <w:r>
        <w:rPr>
          <w:rFonts w:ascii="Arial" w:eastAsia="Times New Roman" w:hAnsi="Arial" w:cs="Arial"/>
          <w:lang w:val="en-US"/>
        </w:rPr>
        <w:t xml:space="preserve"> as well as with </w:t>
      </w:r>
      <w:r w:rsidRPr="00D01B39">
        <w:rPr>
          <w:rFonts w:ascii="Arial" w:eastAsia="Times New Roman" w:hAnsi="Arial" w:cs="Arial"/>
          <w:lang w:val="en-US"/>
        </w:rPr>
        <w:t>third parties</w:t>
      </w:r>
      <w:r>
        <w:rPr>
          <w:rFonts w:ascii="Arial" w:eastAsia="Times New Roman" w:hAnsi="Arial" w:cs="Arial"/>
          <w:lang w:val="en-US"/>
        </w:rPr>
        <w:t>.</w:t>
      </w:r>
    </w:p>
    <w:p w14:paraId="1AD4B438" w14:textId="77777777" w:rsidR="00AE1F7D" w:rsidRPr="00D01B39" w:rsidRDefault="007474A4" w:rsidP="00AE1F7D">
      <w:pPr>
        <w:pStyle w:val="ListParagraph"/>
        <w:rPr>
          <w:rFonts w:ascii="Arial" w:eastAsia="Calibri" w:hAnsi="Arial" w:cs="Times New Roman"/>
          <w:color w:val="FF0000"/>
        </w:rPr>
      </w:pPr>
    </w:p>
    <w:p w14:paraId="1AD4B439" w14:textId="77777777" w:rsidR="00AE1F7D" w:rsidRDefault="00907B19" w:rsidP="00AE1F7D">
      <w:pPr>
        <w:pStyle w:val="ListParagraph"/>
        <w:numPr>
          <w:ilvl w:val="0"/>
          <w:numId w:val="8"/>
        </w:numPr>
        <w:spacing w:after="0" w:line="240" w:lineRule="auto"/>
        <w:rPr>
          <w:rFonts w:ascii="Arial" w:eastAsia="Calibri" w:hAnsi="Arial" w:cs="Times New Roman"/>
        </w:rPr>
      </w:pPr>
      <w:r w:rsidRPr="00804678">
        <w:rPr>
          <w:rFonts w:ascii="Arial" w:eastAsia="Calibri" w:hAnsi="Arial" w:cs="Times New Roman"/>
        </w:rPr>
        <w:t xml:space="preserve">The </w:t>
      </w:r>
      <w:r>
        <w:rPr>
          <w:rFonts w:ascii="Arial" w:eastAsia="Calibri" w:hAnsi="Arial" w:cs="Times New Roman"/>
        </w:rPr>
        <w:t xml:space="preserve">programme of activity to work with partners to design and deliver better public services has now completed. On 15 September, the newly established </w:t>
      </w:r>
      <w:r w:rsidRPr="00804678">
        <w:rPr>
          <w:rFonts w:ascii="Arial" w:eastAsia="Calibri" w:hAnsi="Arial" w:cs="Times New Roman"/>
        </w:rPr>
        <w:t xml:space="preserve">Chorley and South Ribble Partnership </w:t>
      </w:r>
      <w:r>
        <w:rPr>
          <w:rFonts w:ascii="Arial" w:eastAsia="Calibri" w:hAnsi="Arial" w:cs="Times New Roman"/>
        </w:rPr>
        <w:t xml:space="preserve">met for the first time, with new governance arrangements, a defined strategy and action plan. The strategy had been developed over a period of nine months, and represents a consensus across partners on where there should be a collective focus. The Partnership will be developing with partners a locality model which shapes the way services work with each other as well as continuing to build on the benefits of sharing data to improve performance and the application of resources. The first major piece of work being undertaken is a summit in November 2021 on the economy which will see a number of key leaders and experts brought to together to </w:t>
      </w:r>
      <w:r>
        <w:rPr>
          <w:rFonts w:ascii="Arial" w:eastAsia="Calibri" w:hAnsi="Arial" w:cs="Times New Roman"/>
        </w:rPr>
        <w:lastRenderedPageBreak/>
        <w:t xml:space="preserve">identify the recommendations that the Partnership should take forward to support the economy as it recovers from the impact of the pandemic. </w:t>
      </w:r>
    </w:p>
    <w:p w14:paraId="1AD4B43A" w14:textId="77777777" w:rsidR="00AE1F7D" w:rsidRPr="00D30C27" w:rsidRDefault="007474A4" w:rsidP="00AE1F7D">
      <w:pPr>
        <w:spacing w:after="0" w:line="240" w:lineRule="auto"/>
        <w:rPr>
          <w:rFonts w:ascii="Arial" w:eastAsia="Calibri" w:hAnsi="Arial" w:cs="Times New Roman"/>
        </w:rPr>
      </w:pPr>
    </w:p>
    <w:p w14:paraId="1AD4B43B" w14:textId="77777777" w:rsidR="00AE1F7D" w:rsidRDefault="00907B19" w:rsidP="00AE1F7D">
      <w:pPr>
        <w:pStyle w:val="ListParagraph"/>
        <w:numPr>
          <w:ilvl w:val="0"/>
          <w:numId w:val="8"/>
        </w:numPr>
        <w:spacing w:after="0"/>
        <w:rPr>
          <w:rFonts w:ascii="Arial" w:eastAsia="Calibri" w:hAnsi="Arial" w:cs="Arial"/>
        </w:rPr>
      </w:pPr>
      <w:r>
        <w:rPr>
          <w:rFonts w:ascii="Arial" w:eastAsia="Calibri" w:hAnsi="Arial" w:cs="Arial"/>
        </w:rPr>
        <w:t>O</w:t>
      </w:r>
      <w:r w:rsidRPr="00460D79">
        <w:rPr>
          <w:rFonts w:ascii="Arial" w:eastAsia="Calibri" w:hAnsi="Arial" w:cs="Arial"/>
        </w:rPr>
        <w:t xml:space="preserve">f the four projects within this priority, </w:t>
      </w:r>
      <w:r>
        <w:rPr>
          <w:rFonts w:ascii="Arial" w:eastAsia="Calibri" w:hAnsi="Arial" w:cs="Arial"/>
        </w:rPr>
        <w:t>two</w:t>
      </w:r>
      <w:r w:rsidRPr="00460D79">
        <w:rPr>
          <w:rFonts w:ascii="Arial" w:eastAsia="Calibri" w:hAnsi="Arial" w:cs="Arial"/>
        </w:rPr>
        <w:t xml:space="preserve"> </w:t>
      </w:r>
      <w:r>
        <w:rPr>
          <w:rFonts w:ascii="Arial" w:eastAsia="Calibri" w:hAnsi="Arial" w:cs="Arial"/>
        </w:rPr>
        <w:t xml:space="preserve">are complete, one is rated green and one is </w:t>
      </w:r>
      <w:r w:rsidRPr="00460D79">
        <w:rPr>
          <w:rFonts w:ascii="Arial" w:eastAsia="Calibri" w:hAnsi="Arial" w:cs="Arial"/>
        </w:rPr>
        <w:t>rated amber.</w:t>
      </w:r>
    </w:p>
    <w:tbl>
      <w:tblPr>
        <w:tblpPr w:leftFromText="180" w:rightFromText="180" w:vertAnchor="text" w:horzAnchor="page" w:tblpX="1534" w:tblpY="208"/>
        <w:tblOverlap w:val="never"/>
        <w:tblW w:w="9874" w:type="dxa"/>
        <w:tblLook w:val="04A0" w:firstRow="1" w:lastRow="0" w:firstColumn="1" w:lastColumn="0" w:noHBand="0" w:noVBand="1"/>
      </w:tblPr>
      <w:tblGrid>
        <w:gridCol w:w="7675"/>
        <w:gridCol w:w="2199"/>
      </w:tblGrid>
      <w:tr w:rsidR="00066063" w14:paraId="1AD4B43E" w14:textId="77777777" w:rsidTr="00AE1F7D">
        <w:trPr>
          <w:trHeight w:val="276"/>
        </w:trPr>
        <w:tc>
          <w:tcPr>
            <w:tcW w:w="7675" w:type="dxa"/>
            <w:tcBorders>
              <w:top w:val="single" w:sz="4" w:space="0" w:color="auto"/>
              <w:left w:val="single" w:sz="4" w:space="0" w:color="auto"/>
              <w:right w:val="single" w:sz="4" w:space="0" w:color="auto"/>
            </w:tcBorders>
            <w:shd w:val="clear" w:color="auto" w:fill="BFBFBF"/>
            <w:vAlign w:val="center"/>
          </w:tcPr>
          <w:p w14:paraId="1AD4B43C" w14:textId="77777777" w:rsidR="00AE1F7D" w:rsidRPr="0077663E" w:rsidRDefault="007474A4" w:rsidP="00AE1F7D">
            <w:pPr>
              <w:spacing w:after="0" w:line="240" w:lineRule="auto"/>
              <w:rPr>
                <w:rFonts w:ascii="Arial" w:eastAsia="Times New Roman" w:hAnsi="Arial" w:cs="Arial"/>
                <w:b/>
                <w:szCs w:val="20"/>
                <w:lang w:eastAsia="en-GB"/>
              </w:rPr>
            </w:pPr>
          </w:p>
        </w:tc>
        <w:tc>
          <w:tcPr>
            <w:tcW w:w="2199" w:type="dxa"/>
            <w:tcBorders>
              <w:top w:val="single" w:sz="4" w:space="0" w:color="auto"/>
              <w:left w:val="single" w:sz="4" w:space="0" w:color="auto"/>
              <w:right w:val="single" w:sz="4" w:space="0" w:color="auto"/>
            </w:tcBorders>
            <w:shd w:val="clear" w:color="auto" w:fill="BFBFBF"/>
            <w:vAlign w:val="center"/>
          </w:tcPr>
          <w:p w14:paraId="1AD4B43D" w14:textId="77777777" w:rsidR="00AE1F7D" w:rsidRPr="0077663E" w:rsidRDefault="00907B19"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R="00066063" w14:paraId="1AD4B442" w14:textId="77777777" w:rsidTr="00AE1F7D">
        <w:trPr>
          <w:trHeight w:val="468"/>
        </w:trPr>
        <w:tc>
          <w:tcPr>
            <w:tcW w:w="7675" w:type="dxa"/>
            <w:tcBorders>
              <w:left w:val="single" w:sz="4" w:space="0" w:color="auto"/>
              <w:bottom w:val="single" w:sz="4" w:space="0" w:color="auto"/>
              <w:right w:val="single" w:sz="4" w:space="0" w:color="auto"/>
            </w:tcBorders>
            <w:shd w:val="clear" w:color="auto" w:fill="BFBFBF"/>
            <w:vAlign w:val="center"/>
          </w:tcPr>
          <w:p w14:paraId="1AD4B43F" w14:textId="77777777" w:rsidR="00AE1F7D" w:rsidRPr="0077663E" w:rsidRDefault="00907B19" w:rsidP="00AE1F7D">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199" w:type="dxa"/>
            <w:tcBorders>
              <w:left w:val="single" w:sz="4" w:space="0" w:color="auto"/>
              <w:bottom w:val="single" w:sz="4" w:space="0" w:color="auto"/>
              <w:right w:val="single" w:sz="4" w:space="0" w:color="auto"/>
            </w:tcBorders>
            <w:shd w:val="clear" w:color="auto" w:fill="BFBFBF"/>
            <w:vAlign w:val="center"/>
          </w:tcPr>
          <w:p w14:paraId="1AD4B440" w14:textId="77777777" w:rsidR="00AE1F7D" w:rsidRPr="0077663E" w:rsidRDefault="00907B19"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2</w:t>
            </w:r>
          </w:p>
          <w:p w14:paraId="1AD4B441" w14:textId="77777777" w:rsidR="00AE1F7D" w:rsidRPr="0077663E" w:rsidRDefault="00907B19"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July</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Sept</w:t>
            </w:r>
            <w:r w:rsidRPr="0077663E">
              <w:rPr>
                <w:rFonts w:ascii="Arial" w:eastAsia="Times New Roman" w:hAnsi="Arial" w:cs="Arial"/>
                <w:b/>
                <w:szCs w:val="20"/>
                <w:lang w:eastAsia="en-GB"/>
              </w:rPr>
              <w:t>)</w:t>
            </w:r>
          </w:p>
        </w:tc>
      </w:tr>
      <w:tr w:rsidR="00066063" w14:paraId="1AD4B445" w14:textId="77777777" w:rsidTr="00AE1F7D">
        <w:trPr>
          <w:trHeight w:val="477"/>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1AD4B443" w14:textId="77777777" w:rsidR="00AE1F7D" w:rsidRPr="0077663E" w:rsidRDefault="00907B19" w:rsidP="00AE1F7D">
            <w:pPr>
              <w:spacing w:after="0" w:line="240" w:lineRule="auto"/>
              <w:rPr>
                <w:rFonts w:ascii="Arial" w:eastAsia="Times New Roman" w:hAnsi="Arial" w:cs="Arial"/>
                <w:szCs w:val="20"/>
                <w:lang w:eastAsia="en-GB"/>
              </w:rPr>
            </w:pPr>
            <w:r w:rsidRPr="0077663E">
              <w:rPr>
                <w:rFonts w:ascii="Arial" w:eastAsia="Times New Roman" w:hAnsi="Arial" w:cs="Times New Roman"/>
                <w:b/>
                <w:szCs w:val="20"/>
                <w:lang w:eastAsia="en-GB"/>
              </w:rPr>
              <w:t>Deliver the Annual Governance Statement Action Plan</w:t>
            </w:r>
          </w:p>
        </w:tc>
        <w:tc>
          <w:tcPr>
            <w:tcW w:w="2199"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AD4B444" w14:textId="77777777" w:rsidR="00AE1F7D" w:rsidRPr="00351CD5" w:rsidRDefault="00907B19" w:rsidP="00AE1F7D">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COMPLETE</w:t>
            </w:r>
          </w:p>
        </w:tc>
      </w:tr>
      <w:tr w:rsidR="00066063" w14:paraId="1AD4B448" w14:textId="77777777" w:rsidTr="00AE1F7D">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1AD4B446" w14:textId="77777777" w:rsidR="00AE1F7D" w:rsidRPr="0077663E" w:rsidRDefault="00907B19" w:rsidP="00AE1F7D">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Transform the way the council operates</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1AD4B447" w14:textId="77777777" w:rsidR="00AE1F7D" w:rsidRPr="006B5387" w:rsidRDefault="00907B19" w:rsidP="00AE1F7D">
            <w:pPr>
              <w:spacing w:after="0" w:line="240" w:lineRule="auto"/>
              <w:jc w:val="center"/>
              <w:rPr>
                <w:rFonts w:ascii="Arial" w:eastAsia="Times New Roman" w:hAnsi="Arial" w:cs="Arial"/>
                <w:b/>
                <w:bCs/>
                <w:noProof/>
                <w:color w:val="FFFFFF" w:themeColor="background1"/>
                <w:szCs w:val="20"/>
                <w:lang w:eastAsia="en-GB"/>
              </w:rPr>
            </w:pPr>
            <w:r w:rsidRPr="006B5387">
              <w:rPr>
                <w:rFonts w:ascii="Arial" w:eastAsia="Times New Roman" w:hAnsi="Arial" w:cs="Arial"/>
                <w:b/>
                <w:bCs/>
                <w:noProof/>
                <w:color w:val="FFFFFF" w:themeColor="background1"/>
                <w:szCs w:val="20"/>
                <w:lang w:eastAsia="en-GB"/>
              </w:rPr>
              <w:t>GREEN</w:t>
            </w:r>
          </w:p>
        </w:tc>
      </w:tr>
      <w:tr w:rsidR="00066063" w14:paraId="1AD4B44B" w14:textId="77777777" w:rsidTr="00AE1F7D">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1AD4B449" w14:textId="77777777" w:rsidR="00AE1F7D" w:rsidRPr="0077663E" w:rsidRDefault="00907B19" w:rsidP="00AE1F7D">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Work with partners to design and deliver better public service:</w:t>
            </w:r>
          </w:p>
        </w:tc>
        <w:tc>
          <w:tcPr>
            <w:tcW w:w="2199"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AD4B44A" w14:textId="77777777" w:rsidR="00AE1F7D" w:rsidRPr="00351CD5" w:rsidRDefault="00907B19" w:rsidP="00AE1F7D">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COMPLETE</w:t>
            </w:r>
          </w:p>
        </w:tc>
      </w:tr>
      <w:tr w:rsidR="00066063" w14:paraId="1AD4B44E" w14:textId="77777777" w:rsidTr="00AE1F7D">
        <w:trPr>
          <w:trHeight w:val="534"/>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1AD4B44C" w14:textId="77777777" w:rsidR="00AE1F7D" w:rsidRPr="0077663E" w:rsidRDefault="00907B19" w:rsidP="00AE1F7D">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Deliver year one of the joint digital strategy</w:t>
            </w:r>
          </w:p>
        </w:tc>
        <w:tc>
          <w:tcPr>
            <w:tcW w:w="2199" w:type="dxa"/>
            <w:tcBorders>
              <w:top w:val="single" w:sz="4" w:space="0" w:color="auto"/>
              <w:left w:val="single" w:sz="4" w:space="0" w:color="auto"/>
              <w:bottom w:val="single" w:sz="4" w:space="0" w:color="auto"/>
              <w:right w:val="single" w:sz="4" w:space="0" w:color="auto"/>
            </w:tcBorders>
            <w:shd w:val="clear" w:color="auto" w:fill="FFC000"/>
            <w:vAlign w:val="center"/>
          </w:tcPr>
          <w:p w14:paraId="1AD4B44D" w14:textId="77777777" w:rsidR="00AE1F7D" w:rsidRPr="0077663E" w:rsidRDefault="00907B19" w:rsidP="00AE1F7D">
            <w:pPr>
              <w:spacing w:after="0" w:line="240" w:lineRule="auto"/>
              <w:jc w:val="center"/>
              <w:rPr>
                <w:rFonts w:ascii="Arial" w:eastAsia="Times New Roman" w:hAnsi="Arial" w:cs="Arial"/>
                <w:b/>
                <w:bCs/>
                <w:noProof/>
                <w:color w:val="7F7F7F"/>
                <w:szCs w:val="20"/>
                <w:lang w:eastAsia="en-GB"/>
              </w:rPr>
            </w:pPr>
            <w:r>
              <w:rPr>
                <w:rFonts w:ascii="Arial" w:eastAsia="Times New Roman" w:hAnsi="Arial" w:cs="Arial"/>
                <w:b/>
                <w:bCs/>
                <w:noProof/>
                <w:color w:val="FFFFFF" w:themeColor="background1"/>
                <w:szCs w:val="20"/>
                <w:lang w:eastAsia="en-GB"/>
              </w:rPr>
              <w:t>AMBER</w:t>
            </w:r>
          </w:p>
        </w:tc>
      </w:tr>
    </w:tbl>
    <w:p w14:paraId="1AD4B44F" w14:textId="77777777" w:rsidR="00AE1F7D" w:rsidRDefault="007474A4" w:rsidP="00AE1F7D">
      <w:pPr>
        <w:spacing w:after="0"/>
        <w:rPr>
          <w:rFonts w:ascii="Arial" w:eastAsia="Calibri" w:hAnsi="Arial" w:cs="Arial"/>
        </w:rPr>
      </w:pP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35"/>
        <w:gridCol w:w="2056"/>
      </w:tblGrid>
      <w:tr w:rsidR="00066063" w14:paraId="1AD4B453" w14:textId="77777777" w:rsidTr="00AE1F7D">
        <w:trPr>
          <w:trHeight w:val="1479"/>
        </w:trPr>
        <w:tc>
          <w:tcPr>
            <w:tcW w:w="7736" w:type="dxa"/>
            <w:gridSpan w:val="2"/>
            <w:shd w:val="clear" w:color="auto" w:fill="auto"/>
            <w:vAlign w:val="center"/>
          </w:tcPr>
          <w:p w14:paraId="1AD4B450" w14:textId="77777777" w:rsidR="00AE1F7D" w:rsidRDefault="00907B19" w:rsidP="00AE1F7D">
            <w:pPr>
              <w:widowControl w:val="0"/>
              <w:rPr>
                <w:rFonts w:eastAsia="Calibri"/>
                <w:b/>
              </w:rPr>
            </w:pPr>
            <w:bookmarkStart w:id="3" w:name="_Hlk85188507"/>
            <w:r w:rsidRPr="0077663E">
              <w:rPr>
                <w:rFonts w:ascii="Arial" w:eastAsia="Times New Roman" w:hAnsi="Arial" w:cs="Arial"/>
                <w:b/>
                <w:bCs/>
                <w:szCs w:val="20"/>
                <w:lang w:eastAsia="en-GB"/>
              </w:rPr>
              <w:t>Deliver year one of the joint digital strategy</w:t>
            </w:r>
            <w:r w:rsidRPr="003510A3">
              <w:rPr>
                <w:rFonts w:eastAsia="Calibri"/>
                <w:b/>
              </w:rPr>
              <w:t>:</w:t>
            </w:r>
          </w:p>
          <w:p w14:paraId="1AD4B451" w14:textId="77777777" w:rsidR="00AE1F7D" w:rsidRPr="009B192A" w:rsidRDefault="00907B19" w:rsidP="00AE1F7D">
            <w:pPr>
              <w:widowControl w:val="0"/>
              <w:spacing w:after="0" w:line="240" w:lineRule="auto"/>
              <w:rPr>
                <w:bCs/>
              </w:rPr>
            </w:pPr>
            <w:r w:rsidRPr="002D341E">
              <w:rPr>
                <w:bCs/>
              </w:rPr>
              <w:t>The strategy focuses on harnessing the potential of new technologies, whilst maximising the use of existing technologies to provide a customer focused approach to service delivery.</w:t>
            </w:r>
          </w:p>
        </w:tc>
        <w:tc>
          <w:tcPr>
            <w:tcW w:w="2056" w:type="dxa"/>
            <w:shd w:val="clear" w:color="auto" w:fill="FFC000"/>
            <w:vAlign w:val="center"/>
          </w:tcPr>
          <w:p w14:paraId="1AD4B452" w14:textId="77777777" w:rsidR="00AE1F7D" w:rsidRPr="00D3638D" w:rsidRDefault="00907B19" w:rsidP="00AE1F7D">
            <w:pPr>
              <w:pStyle w:val="ListParagraph"/>
              <w:widowControl w:val="0"/>
              <w:spacing w:after="0"/>
              <w:ind w:left="0"/>
              <w:jc w:val="center"/>
              <w:outlineLvl w:val="0"/>
              <w:rPr>
                <w:b/>
                <w:color w:val="FFC000"/>
              </w:rPr>
            </w:pPr>
            <w:r w:rsidRPr="00CD576D">
              <w:rPr>
                <w:b/>
                <w:bCs/>
                <w:color w:val="FFFFFF" w:themeColor="background1"/>
                <w:sz w:val="24"/>
                <w:szCs w:val="24"/>
              </w:rPr>
              <w:t>AMBER</w:t>
            </w:r>
          </w:p>
        </w:tc>
      </w:tr>
      <w:tr w:rsidR="00066063" w14:paraId="1AD4B457" w14:textId="77777777" w:rsidTr="00AE1F7D">
        <w:trPr>
          <w:cantSplit/>
          <w:trHeight w:val="1189"/>
        </w:trPr>
        <w:tc>
          <w:tcPr>
            <w:tcW w:w="1701" w:type="dxa"/>
            <w:shd w:val="clear" w:color="auto" w:fill="auto"/>
          </w:tcPr>
          <w:p w14:paraId="1AD4B454" w14:textId="77777777" w:rsidR="00AE1F7D" w:rsidRPr="00017C72" w:rsidRDefault="00907B19" w:rsidP="00AE1F7D">
            <w:pPr>
              <w:widowControl w:val="0"/>
              <w:rPr>
                <w:b/>
                <w:bCs/>
                <w:color w:val="FF0000"/>
              </w:rPr>
            </w:pPr>
            <w:r w:rsidRPr="00A54B9C">
              <w:rPr>
                <w:b/>
                <w:bCs/>
              </w:rPr>
              <w:t>Issue:</w:t>
            </w:r>
          </w:p>
        </w:tc>
        <w:tc>
          <w:tcPr>
            <w:tcW w:w="8091" w:type="dxa"/>
            <w:gridSpan w:val="2"/>
            <w:shd w:val="clear" w:color="auto" w:fill="auto"/>
            <w:vAlign w:val="center"/>
          </w:tcPr>
          <w:p w14:paraId="1AD4B455" w14:textId="77777777" w:rsidR="00AE1F7D" w:rsidRDefault="00907B19" w:rsidP="00AE1F7D">
            <w:pPr>
              <w:spacing w:after="0" w:line="240" w:lineRule="auto"/>
              <w:rPr>
                <w:rFonts w:eastAsia="Calibri" w:cs="Arial"/>
                <w:bCs/>
              </w:rPr>
            </w:pPr>
            <w:r w:rsidRPr="00D47DFA">
              <w:rPr>
                <w:rFonts w:eastAsia="Calibri" w:cs="Arial"/>
                <w:bCs/>
              </w:rPr>
              <w:t>This project has been rated amber due to resourcing issues. There are existing vacancies within the ICT service across both authorities resulting in gaps in the essential skills and knowledge required to support the delivery of the Joint Digital Strategy.</w:t>
            </w:r>
            <w:r>
              <w:rPr>
                <w:rFonts w:eastAsia="Calibri" w:cs="Arial"/>
                <w:bCs/>
              </w:rPr>
              <w:t xml:space="preserve"> </w:t>
            </w:r>
            <w:r w:rsidRPr="00D47DFA">
              <w:rPr>
                <w:rFonts w:eastAsia="Calibri" w:cs="Arial"/>
                <w:bCs/>
              </w:rPr>
              <w:t>The recruitment to these vacant posts was expected to take place in quarter two, however this has been delayed due to the extension of the formal consultation period of the shared service ICT review.</w:t>
            </w:r>
          </w:p>
          <w:p w14:paraId="1AD4B456" w14:textId="77777777" w:rsidR="00AE1F7D" w:rsidRPr="00D47DFA" w:rsidRDefault="007474A4" w:rsidP="00AE1F7D">
            <w:pPr>
              <w:spacing w:after="0" w:line="240" w:lineRule="auto"/>
              <w:rPr>
                <w:rFonts w:eastAsia="Calibri" w:cs="Arial"/>
                <w:bCs/>
              </w:rPr>
            </w:pPr>
          </w:p>
        </w:tc>
      </w:tr>
      <w:tr w:rsidR="00066063" w14:paraId="1AD4B45D" w14:textId="77777777" w:rsidTr="00AE1F7D">
        <w:trPr>
          <w:cantSplit/>
          <w:trHeight w:val="1573"/>
        </w:trPr>
        <w:tc>
          <w:tcPr>
            <w:tcW w:w="1701" w:type="dxa"/>
            <w:shd w:val="clear" w:color="auto" w:fill="auto"/>
          </w:tcPr>
          <w:p w14:paraId="1AD4B458" w14:textId="77777777" w:rsidR="00AE1F7D" w:rsidRDefault="00907B19" w:rsidP="00AE1F7D">
            <w:pPr>
              <w:widowControl w:val="0"/>
            </w:pPr>
            <w:r w:rsidRPr="00A54B9C">
              <w:rPr>
                <w:b/>
                <w:bCs/>
              </w:rPr>
              <w:t xml:space="preserve">Actions </w:t>
            </w:r>
            <w:r>
              <w:rPr>
                <w:b/>
                <w:bCs/>
              </w:rPr>
              <w:t xml:space="preserve">Plan -What will be done: </w:t>
            </w:r>
          </w:p>
        </w:tc>
        <w:tc>
          <w:tcPr>
            <w:tcW w:w="8091" w:type="dxa"/>
            <w:gridSpan w:val="2"/>
            <w:shd w:val="clear" w:color="auto" w:fill="auto"/>
            <w:vAlign w:val="center"/>
          </w:tcPr>
          <w:p w14:paraId="1AD4B459" w14:textId="77777777" w:rsidR="00AE1F7D" w:rsidRDefault="00907B19" w:rsidP="00AE1F7D">
            <w:pPr>
              <w:spacing w:after="0" w:line="240" w:lineRule="auto"/>
            </w:pPr>
            <w:r>
              <w:t xml:space="preserve">To ensure that there is the necessary capacity, resources and skills in place to deliver the Digital Strategy. Recruitment to the vacant posts will be conducted in </w:t>
            </w:r>
            <w:r w:rsidRPr="00D47DFA">
              <w:t xml:space="preserve">December </w:t>
            </w:r>
            <w:r>
              <w:t>as part of the shared ICT restructure to address the capacity issues.  </w:t>
            </w:r>
          </w:p>
          <w:p w14:paraId="1AD4B45A" w14:textId="77777777" w:rsidR="00AE1F7D" w:rsidRDefault="007474A4" w:rsidP="00AE1F7D">
            <w:pPr>
              <w:spacing w:after="0" w:line="240" w:lineRule="auto"/>
            </w:pPr>
          </w:p>
          <w:p w14:paraId="1AD4B45B" w14:textId="77777777" w:rsidR="00AE1F7D" w:rsidRDefault="00907B19" w:rsidP="00AE1F7D">
            <w:pPr>
              <w:spacing w:after="0" w:line="240" w:lineRule="auto"/>
            </w:pPr>
            <w:r>
              <w:t>A full costing exercise will be undertaken to identify any additional capacity costs.</w:t>
            </w:r>
            <w:r w:rsidRPr="00EC5059">
              <w:t xml:space="preserve"> The year one action plan for the Joint Digital </w:t>
            </w:r>
            <w:r>
              <w:t>S</w:t>
            </w:r>
            <w:r w:rsidRPr="00EC5059">
              <w:t xml:space="preserve">trategy is to be reprofiled as a result of the above and is expected to be complete in </w:t>
            </w:r>
            <w:r>
              <w:t>February 2022</w:t>
            </w:r>
            <w:r w:rsidRPr="00EC5059">
              <w:t>. This will ensure successful delivery of the Joint Digital Strategy as planned in March 2024.</w:t>
            </w:r>
          </w:p>
          <w:p w14:paraId="1AD4B45C" w14:textId="77777777" w:rsidR="00AE1F7D" w:rsidRPr="00B11C85" w:rsidRDefault="007474A4" w:rsidP="00AE1F7D">
            <w:pPr>
              <w:spacing w:after="0" w:line="240" w:lineRule="auto"/>
              <w:rPr>
                <w:rFonts w:ascii="Times New Roman" w:hAnsi="Times New Roman" w:cs="Times New Roman"/>
                <w:color w:val="FF0000"/>
                <w:sz w:val="24"/>
                <w:szCs w:val="24"/>
                <w:lang w:eastAsia="en-GB"/>
              </w:rPr>
            </w:pPr>
          </w:p>
        </w:tc>
      </w:tr>
      <w:bookmarkEnd w:id="3"/>
    </w:tbl>
    <w:p w14:paraId="1AD4B45E" w14:textId="77777777" w:rsidR="00AE1F7D" w:rsidRDefault="007474A4" w:rsidP="00AE1F7D">
      <w:pPr>
        <w:spacing w:after="0"/>
      </w:pPr>
    </w:p>
    <w:p w14:paraId="1AD4B45F" w14:textId="77777777" w:rsidR="00AE1F7D" w:rsidRDefault="007474A4" w:rsidP="00AE1F7D">
      <w:pPr>
        <w:spacing w:after="0"/>
      </w:pPr>
    </w:p>
    <w:p w14:paraId="1AD4B460" w14:textId="77777777" w:rsidR="00AE1F7D" w:rsidRDefault="007474A4" w:rsidP="00AE1F7D">
      <w:pPr>
        <w:spacing w:after="0"/>
      </w:pPr>
    </w:p>
    <w:p w14:paraId="1AD4B461" w14:textId="77777777" w:rsidR="00AE1F7D" w:rsidRDefault="007474A4" w:rsidP="00AE1F7D">
      <w:pPr>
        <w:spacing w:after="0"/>
      </w:pPr>
    </w:p>
    <w:p w14:paraId="1AD4B462" w14:textId="77777777" w:rsidR="00AE1F7D" w:rsidRDefault="007474A4" w:rsidP="00AE1F7D">
      <w:pPr>
        <w:spacing w:after="0"/>
      </w:pPr>
    </w:p>
    <w:p w14:paraId="1AD4B463" w14:textId="77777777" w:rsidR="00AE1F7D" w:rsidRDefault="007474A4" w:rsidP="00AE1F7D">
      <w:pPr>
        <w:spacing w:after="0"/>
      </w:pPr>
    </w:p>
    <w:p w14:paraId="1AD4B464" w14:textId="77777777" w:rsidR="00AE1F7D" w:rsidRDefault="007474A4" w:rsidP="00AE1F7D">
      <w:pPr>
        <w:spacing w:after="0"/>
      </w:pPr>
    </w:p>
    <w:p w14:paraId="1AD4B465" w14:textId="77777777" w:rsidR="00AE1F7D" w:rsidRDefault="007474A4" w:rsidP="00AE1F7D">
      <w:pPr>
        <w:spacing w:after="0"/>
      </w:pPr>
    </w:p>
    <w:p w14:paraId="1AD4B466" w14:textId="77777777" w:rsidR="00AE1F7D" w:rsidRDefault="007474A4" w:rsidP="00AE1F7D">
      <w:pPr>
        <w:spacing w:after="0"/>
      </w:pPr>
    </w:p>
    <w:p w14:paraId="1AD4B467" w14:textId="77777777" w:rsidR="00AE1F7D" w:rsidRDefault="007474A4" w:rsidP="00AE1F7D">
      <w:pPr>
        <w:spacing w:after="0"/>
      </w:pPr>
    </w:p>
    <w:p w14:paraId="1AD4B468" w14:textId="77777777" w:rsidR="00AE1F7D" w:rsidRDefault="007474A4" w:rsidP="00AE1F7D">
      <w:pPr>
        <w:spacing w:after="0"/>
      </w:pPr>
    </w:p>
    <w:p w14:paraId="1AD4B469" w14:textId="77777777" w:rsidR="00AE1F7D" w:rsidRDefault="007474A4" w:rsidP="00AE1F7D">
      <w:pPr>
        <w:spacing w:after="0"/>
      </w:pPr>
    </w:p>
    <w:p w14:paraId="1AD4B46A" w14:textId="77777777" w:rsidR="00AE1F7D" w:rsidRPr="00460D79" w:rsidRDefault="00907B19" w:rsidP="00AE1F7D">
      <w:pPr>
        <w:pStyle w:val="Heading2"/>
        <w:rPr>
          <w:rFonts w:asciiTheme="majorHAnsi" w:hAnsiTheme="majorHAnsi" w:cstheme="majorHAnsi"/>
          <w:sz w:val="22"/>
          <w:szCs w:val="22"/>
        </w:rPr>
      </w:pPr>
      <w:r>
        <w:rPr>
          <w:rFonts w:asciiTheme="majorHAnsi" w:hAnsiTheme="majorHAnsi" w:cstheme="majorHAnsi"/>
          <w:sz w:val="22"/>
          <w:szCs w:val="22"/>
        </w:rPr>
        <w:lastRenderedPageBreak/>
        <w:t>K</w:t>
      </w:r>
      <w:r w:rsidRPr="00460D79">
        <w:rPr>
          <w:rFonts w:asciiTheme="majorHAnsi" w:hAnsiTheme="majorHAnsi" w:cstheme="majorHAnsi"/>
          <w:sz w:val="22"/>
          <w:szCs w:val="22"/>
        </w:rPr>
        <w:t>ey Performance Indicators</w:t>
      </w:r>
    </w:p>
    <w:p w14:paraId="1AD4B46B" w14:textId="77777777" w:rsidR="00AE1F7D" w:rsidRPr="00460D79" w:rsidRDefault="00907B19" w:rsidP="00AE1F7D">
      <w:pPr>
        <w:pStyle w:val="ListParagraph"/>
        <w:numPr>
          <w:ilvl w:val="0"/>
          <w:numId w:val="8"/>
        </w:numPr>
        <w:rPr>
          <w:rFonts w:ascii="Arial" w:eastAsia="Calibri" w:hAnsi="Arial" w:cs="Arial"/>
        </w:rPr>
      </w:pPr>
      <w:r w:rsidRPr="00460D79">
        <w:rPr>
          <w:rFonts w:ascii="Arial" w:eastAsia="Calibri" w:hAnsi="Arial" w:cs="Arial"/>
        </w:rPr>
        <w:t xml:space="preserve">Of the five performance measures reported under this outcome, </w:t>
      </w:r>
      <w:r>
        <w:rPr>
          <w:rFonts w:ascii="Arial" w:eastAsia="Calibri" w:hAnsi="Arial" w:cs="Arial"/>
        </w:rPr>
        <w:t>one is</w:t>
      </w:r>
      <w:r w:rsidRPr="00460D79">
        <w:rPr>
          <w:rFonts w:ascii="Arial" w:eastAsia="Calibri" w:hAnsi="Arial" w:cs="Arial"/>
        </w:rPr>
        <w:t xml:space="preserve"> due to be reported this quarter</w:t>
      </w:r>
      <w:r>
        <w:rPr>
          <w:rFonts w:ascii="Arial" w:eastAsia="Calibri" w:hAnsi="Arial" w:cs="Arial"/>
        </w:rPr>
        <w:t xml:space="preserve"> </w:t>
      </w:r>
      <w:r w:rsidRPr="00460D79">
        <w:rPr>
          <w:rFonts w:ascii="Arial" w:eastAsia="Calibri" w:hAnsi="Arial" w:cs="Arial"/>
        </w:rPr>
        <w:t>and is rated red. A full list of the performance indicators is included in Appendix 1.</w:t>
      </w:r>
    </w:p>
    <w:p w14:paraId="1AD4B46C" w14:textId="77777777" w:rsidR="00AE1F7D" w:rsidRDefault="007474A4" w:rsidP="00AE1F7D">
      <w:pPr>
        <w:pStyle w:val="ListParagraph"/>
        <w:spacing w:after="0" w:line="240" w:lineRule="auto"/>
        <w:ind w:left="1440"/>
        <w:rPr>
          <w:rFonts w:ascii="Arial" w:eastAsia="Calibri" w:hAnsi="Arial" w:cs="Times New Roman"/>
        </w:rPr>
      </w:pPr>
    </w:p>
    <w:p w14:paraId="1AD4B46D" w14:textId="77777777" w:rsidR="00AE1F7D" w:rsidRPr="002F4C9C" w:rsidRDefault="00907B19" w:rsidP="00AE1F7D">
      <w:pPr>
        <w:spacing w:after="0" w:line="240" w:lineRule="auto"/>
        <w:rPr>
          <w:rFonts w:ascii="Arial" w:eastAsia="Calibri" w:hAnsi="Arial" w:cs="Times New Roman"/>
        </w:rPr>
      </w:pPr>
      <w:r>
        <w:rPr>
          <w:rFonts w:ascii="Arial" w:eastAsia="Calibri" w:hAnsi="Arial" w:cs="Times New Roman"/>
        </w:rPr>
        <w:t>The red rated measure is:</w:t>
      </w:r>
    </w:p>
    <w:p w14:paraId="1AD4B46E" w14:textId="77777777" w:rsidR="00AE1F7D" w:rsidRPr="00374F5D" w:rsidRDefault="007474A4" w:rsidP="00AE1F7D">
      <w:pPr>
        <w:spacing w:after="0" w:line="240" w:lineRule="auto"/>
        <w:rPr>
          <w:rFonts w:ascii="Arial" w:eastAsia="Calibri" w:hAnsi="Arial" w:cs="Times New Roman"/>
        </w:rPr>
      </w:pPr>
    </w:p>
    <w:p w14:paraId="1AD4B46F" w14:textId="77777777" w:rsidR="00AE1F7D" w:rsidRDefault="00907B19" w:rsidP="00AE1F7D">
      <w:pPr>
        <w:pStyle w:val="ListParagraph"/>
        <w:numPr>
          <w:ilvl w:val="0"/>
          <w:numId w:val="15"/>
        </w:numPr>
        <w:spacing w:after="0" w:line="240" w:lineRule="auto"/>
        <w:rPr>
          <w:rFonts w:ascii="Arial" w:eastAsia="Calibri" w:hAnsi="Arial" w:cs="Times New Roman"/>
        </w:rPr>
      </w:pPr>
      <w:r w:rsidRPr="0077663E">
        <w:rPr>
          <w:rFonts w:ascii="Arial" w:eastAsia="Calibri" w:hAnsi="Arial" w:cs="Times New Roman"/>
        </w:rPr>
        <w:t>At least 40% of service requests will be received via self-service channels</w:t>
      </w:r>
    </w:p>
    <w:p w14:paraId="1AD4B470" w14:textId="77777777" w:rsidR="00AE1F7D" w:rsidRDefault="007474A4" w:rsidP="00AE1F7D">
      <w:pPr>
        <w:spacing w:after="0" w:line="240" w:lineRule="auto"/>
        <w:rPr>
          <w:rFonts w:ascii="Arial" w:eastAsia="Calibri" w:hAnsi="Arial" w:cs="Times New Roman"/>
        </w:rPr>
      </w:pPr>
    </w:p>
    <w:p w14:paraId="1AD4B471" w14:textId="77777777" w:rsidR="00AE1F7D" w:rsidRDefault="007474A4" w:rsidP="00AE1F7D">
      <w:pPr>
        <w:spacing w:after="0" w:line="240" w:lineRule="auto"/>
        <w:contextualSpacing/>
        <w:rPr>
          <w:rFonts w:ascii="Arial" w:eastAsia="Calibri" w:hAnsi="Arial" w:cs="Arial"/>
        </w:rPr>
      </w:pPr>
    </w:p>
    <w:tbl>
      <w:tblPr>
        <w:tblpPr w:leftFromText="180" w:rightFromText="180" w:vertAnchor="text" w:horzAnchor="margin" w:tblpX="124"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1161"/>
        <w:gridCol w:w="1560"/>
        <w:gridCol w:w="1275"/>
        <w:gridCol w:w="1276"/>
        <w:gridCol w:w="1413"/>
      </w:tblGrid>
      <w:tr w:rsidR="00066063" w14:paraId="1AD4B479" w14:textId="77777777" w:rsidTr="00AE1F7D">
        <w:trPr>
          <w:trHeight w:val="254"/>
        </w:trPr>
        <w:tc>
          <w:tcPr>
            <w:tcW w:w="3096" w:type="dxa"/>
            <w:shd w:val="clear" w:color="auto" w:fill="BFBFBF"/>
            <w:vAlign w:val="center"/>
          </w:tcPr>
          <w:p w14:paraId="1AD4B472" w14:textId="77777777" w:rsidR="00AE1F7D" w:rsidRPr="00D7189D" w:rsidRDefault="00907B19" w:rsidP="00AE1F7D">
            <w:pPr>
              <w:pStyle w:val="ListParagraph"/>
              <w:widowControl w:val="0"/>
              <w:ind w:left="0"/>
              <w:outlineLvl w:val="0"/>
              <w:rPr>
                <w:b/>
                <w:bCs/>
              </w:rPr>
            </w:pPr>
            <w:r w:rsidRPr="00D7189D">
              <w:rPr>
                <w:b/>
                <w:bCs/>
              </w:rPr>
              <w:t>Key Performance Indicator</w:t>
            </w:r>
          </w:p>
        </w:tc>
        <w:tc>
          <w:tcPr>
            <w:tcW w:w="1161" w:type="dxa"/>
            <w:shd w:val="clear" w:color="auto" w:fill="BFBFBF"/>
            <w:vAlign w:val="center"/>
          </w:tcPr>
          <w:p w14:paraId="1AD4B473" w14:textId="77777777" w:rsidR="00AE1F7D" w:rsidRPr="00D7189D" w:rsidRDefault="00907B19" w:rsidP="00AE1F7D">
            <w:pPr>
              <w:pStyle w:val="ListParagraph"/>
              <w:widowControl w:val="0"/>
              <w:spacing w:after="0" w:line="257" w:lineRule="auto"/>
              <w:ind w:left="0"/>
              <w:contextualSpacing w:val="0"/>
              <w:jc w:val="center"/>
              <w:outlineLvl w:val="0"/>
              <w:rPr>
                <w:b/>
                <w:bCs/>
              </w:rPr>
            </w:pPr>
            <w:r>
              <w:rPr>
                <w:b/>
                <w:bCs/>
              </w:rPr>
              <w:t>Target</w:t>
            </w:r>
          </w:p>
        </w:tc>
        <w:tc>
          <w:tcPr>
            <w:tcW w:w="1560" w:type="dxa"/>
            <w:shd w:val="clear" w:color="auto" w:fill="BFBFBF"/>
            <w:vAlign w:val="center"/>
          </w:tcPr>
          <w:p w14:paraId="1AD4B474" w14:textId="77777777" w:rsidR="00AE1F7D" w:rsidRPr="00D7189D" w:rsidRDefault="00907B19" w:rsidP="00AE1F7D">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14:paraId="1AD4B475" w14:textId="77777777" w:rsidR="00AE1F7D" w:rsidRPr="00F12C84" w:rsidRDefault="00907B19" w:rsidP="00AE1F7D">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2</w:t>
            </w:r>
          </w:p>
          <w:p w14:paraId="1AD4B476" w14:textId="77777777" w:rsidR="00AE1F7D" w:rsidRPr="00D7189D" w:rsidRDefault="00907B19" w:rsidP="00AE1F7D">
            <w:pPr>
              <w:pStyle w:val="ListParagraph"/>
              <w:widowControl w:val="0"/>
              <w:spacing w:after="0" w:line="240" w:lineRule="auto"/>
              <w:ind w:left="0"/>
              <w:jc w:val="center"/>
              <w:outlineLvl w:val="0"/>
              <w:rPr>
                <w:b/>
                <w:bCs/>
              </w:rPr>
            </w:pPr>
            <w:r w:rsidRPr="00F12C84">
              <w:rPr>
                <w:rFonts w:eastAsia="Calibri" w:cs="Times New Roman"/>
                <w:b/>
                <w:bCs/>
              </w:rPr>
              <w:t>202</w:t>
            </w:r>
            <w:r>
              <w:rPr>
                <w:rFonts w:eastAsia="Calibri" w:cs="Times New Roman"/>
                <w:b/>
                <w:bCs/>
              </w:rPr>
              <w:t>1/22</w:t>
            </w:r>
          </w:p>
        </w:tc>
        <w:tc>
          <w:tcPr>
            <w:tcW w:w="1276" w:type="dxa"/>
            <w:shd w:val="clear" w:color="auto" w:fill="BFBFBF"/>
            <w:vAlign w:val="center"/>
          </w:tcPr>
          <w:p w14:paraId="1AD4B477" w14:textId="77777777" w:rsidR="00AE1F7D" w:rsidRPr="00D7189D" w:rsidRDefault="00907B19" w:rsidP="00AE1F7D">
            <w:pPr>
              <w:pStyle w:val="ListParagraph"/>
              <w:widowControl w:val="0"/>
              <w:spacing w:after="0" w:line="257" w:lineRule="auto"/>
              <w:ind w:left="0"/>
              <w:contextualSpacing w:val="0"/>
              <w:jc w:val="center"/>
              <w:outlineLvl w:val="0"/>
              <w:rPr>
                <w:b/>
                <w:bCs/>
              </w:rPr>
            </w:pPr>
            <w:r>
              <w:rPr>
                <w:b/>
                <w:bCs/>
              </w:rPr>
              <w:t xml:space="preserve">Symbol </w:t>
            </w:r>
          </w:p>
        </w:tc>
        <w:tc>
          <w:tcPr>
            <w:tcW w:w="1413" w:type="dxa"/>
            <w:shd w:val="clear" w:color="auto" w:fill="BFBFBF"/>
            <w:vAlign w:val="center"/>
          </w:tcPr>
          <w:p w14:paraId="1AD4B478" w14:textId="77777777" w:rsidR="00AE1F7D" w:rsidRPr="00D7189D" w:rsidRDefault="00907B19" w:rsidP="00AE1F7D">
            <w:pPr>
              <w:pStyle w:val="ListParagraph"/>
              <w:widowControl w:val="0"/>
              <w:spacing w:after="0" w:line="257" w:lineRule="auto"/>
              <w:ind w:left="0"/>
              <w:contextualSpacing w:val="0"/>
              <w:jc w:val="center"/>
              <w:outlineLvl w:val="0"/>
              <w:rPr>
                <w:b/>
                <w:bCs/>
              </w:rPr>
            </w:pPr>
            <w:r>
              <w:rPr>
                <w:b/>
                <w:bCs/>
              </w:rPr>
              <w:t>Trend</w:t>
            </w:r>
          </w:p>
        </w:tc>
      </w:tr>
      <w:tr w:rsidR="00066063" w14:paraId="1AD4B481" w14:textId="77777777" w:rsidTr="00AE1F7D">
        <w:trPr>
          <w:trHeight w:val="834"/>
        </w:trPr>
        <w:tc>
          <w:tcPr>
            <w:tcW w:w="3096" w:type="dxa"/>
            <w:shd w:val="clear" w:color="auto" w:fill="auto"/>
            <w:vAlign w:val="center"/>
          </w:tcPr>
          <w:p w14:paraId="1AD4B47A" w14:textId="77777777" w:rsidR="00AE1F7D" w:rsidRPr="00D7189D" w:rsidRDefault="00907B19" w:rsidP="00AE1F7D">
            <w:pPr>
              <w:pStyle w:val="ListParagraph"/>
              <w:widowControl w:val="0"/>
              <w:spacing w:after="0"/>
              <w:ind w:left="0"/>
              <w:outlineLvl w:val="0"/>
            </w:pPr>
            <w:r w:rsidRPr="00F12C84">
              <w:rPr>
                <w:rFonts w:eastAsia="Calibri" w:cs="Times New Roman"/>
              </w:rPr>
              <w:t>At least 40% of service requests will be received via self-service channels</w:t>
            </w:r>
          </w:p>
        </w:tc>
        <w:tc>
          <w:tcPr>
            <w:tcW w:w="1161" w:type="dxa"/>
            <w:shd w:val="clear" w:color="auto" w:fill="auto"/>
            <w:vAlign w:val="center"/>
          </w:tcPr>
          <w:p w14:paraId="1AD4B47B" w14:textId="77777777" w:rsidR="00AE1F7D" w:rsidRPr="00D7189D" w:rsidRDefault="00907B19" w:rsidP="00AE1F7D">
            <w:pPr>
              <w:pStyle w:val="ListParagraph"/>
              <w:widowControl w:val="0"/>
              <w:spacing w:after="0"/>
              <w:ind w:left="0"/>
              <w:jc w:val="center"/>
              <w:outlineLvl w:val="0"/>
            </w:pPr>
            <w:r>
              <w:rPr>
                <w:rFonts w:eastAsia="Calibri" w:cs="Times New Roman"/>
              </w:rPr>
              <w:t>40%</w:t>
            </w:r>
          </w:p>
        </w:tc>
        <w:tc>
          <w:tcPr>
            <w:tcW w:w="1560" w:type="dxa"/>
            <w:vAlign w:val="center"/>
          </w:tcPr>
          <w:p w14:paraId="1AD4B47C" w14:textId="77777777" w:rsidR="00AE1F7D" w:rsidRDefault="00907B19" w:rsidP="00AE1F7D">
            <w:pPr>
              <w:widowControl w:val="0"/>
              <w:spacing w:after="0" w:line="256" w:lineRule="auto"/>
              <w:contextualSpacing/>
              <w:jc w:val="center"/>
              <w:outlineLvl w:val="0"/>
              <w:rPr>
                <w:rFonts w:eastAsia="Arial" w:cs="Times New Roman"/>
                <w:lang w:val="en-US"/>
              </w:rPr>
            </w:pPr>
            <w:r>
              <w:rPr>
                <w:rFonts w:eastAsia="Arial" w:cs="Times New Roman"/>
                <w:lang w:val="en-US"/>
              </w:rPr>
              <w:t>32.5%</w:t>
            </w:r>
          </w:p>
          <w:p w14:paraId="1AD4B47D" w14:textId="77777777" w:rsidR="00AE1F7D" w:rsidRPr="00D7189D" w:rsidRDefault="00907B19" w:rsidP="00AE1F7D">
            <w:pPr>
              <w:pStyle w:val="ListParagraph"/>
              <w:widowControl w:val="0"/>
              <w:spacing w:after="0" w:line="240" w:lineRule="auto"/>
              <w:ind w:left="0"/>
              <w:jc w:val="center"/>
              <w:outlineLvl w:val="0"/>
            </w:pPr>
            <w:r>
              <w:rPr>
                <w:rFonts w:eastAsia="Arial" w:cs="Times New Roman"/>
                <w:lang w:val="en-US"/>
              </w:rPr>
              <w:t>(Q1 2021/22)</w:t>
            </w:r>
          </w:p>
        </w:tc>
        <w:tc>
          <w:tcPr>
            <w:tcW w:w="1275" w:type="dxa"/>
            <w:vAlign w:val="center"/>
          </w:tcPr>
          <w:p w14:paraId="1AD4B47E" w14:textId="77777777" w:rsidR="00AE1F7D" w:rsidRPr="003D37EC" w:rsidRDefault="00907B19" w:rsidP="00AE1F7D">
            <w:pPr>
              <w:pStyle w:val="ListParagraph"/>
              <w:widowControl w:val="0"/>
              <w:spacing w:after="0"/>
              <w:ind w:left="0"/>
              <w:jc w:val="center"/>
              <w:outlineLvl w:val="0"/>
              <w:rPr>
                <w:b/>
                <w:bCs/>
              </w:rPr>
            </w:pPr>
            <w:r>
              <w:rPr>
                <w:rFonts w:eastAsia="Calibri" w:cs="Times New Roman"/>
                <w:b/>
                <w:bCs/>
              </w:rPr>
              <w:t>25.3%</w:t>
            </w:r>
          </w:p>
        </w:tc>
        <w:tc>
          <w:tcPr>
            <w:tcW w:w="1276" w:type="dxa"/>
            <w:shd w:val="clear" w:color="auto" w:fill="auto"/>
            <w:vAlign w:val="center"/>
          </w:tcPr>
          <w:p w14:paraId="1AD4B47F" w14:textId="77777777" w:rsidR="00AE1F7D" w:rsidRPr="00135C5B" w:rsidRDefault="00907B19" w:rsidP="00AE1F7D">
            <w:pPr>
              <w:pStyle w:val="ListParagraph"/>
              <w:widowControl w:val="0"/>
              <w:spacing w:after="0"/>
              <w:ind w:left="0"/>
              <w:jc w:val="center"/>
              <w:outlineLvl w:val="0"/>
            </w:pPr>
            <w:r w:rsidRPr="00F12C84">
              <w:rPr>
                <w:rFonts w:ascii="Wingdings 3" w:eastAsia="Arial" w:hAnsi="Wingdings 3" w:cs="Times New Roman"/>
                <w:color w:val="FF0000"/>
                <w:sz w:val="32"/>
              </w:rPr>
              <w:sym w:font="Wingdings 3" w:char="F070"/>
            </w:r>
          </w:p>
        </w:tc>
        <w:tc>
          <w:tcPr>
            <w:tcW w:w="1413" w:type="dxa"/>
            <w:shd w:val="clear" w:color="auto" w:fill="auto"/>
            <w:vAlign w:val="center"/>
          </w:tcPr>
          <w:p w14:paraId="1AD4B480" w14:textId="77777777" w:rsidR="00AE1F7D" w:rsidRPr="00135C5B" w:rsidRDefault="00907B19" w:rsidP="00AE1F7D">
            <w:pPr>
              <w:pStyle w:val="ListParagraph"/>
              <w:widowControl w:val="0"/>
              <w:spacing w:after="0"/>
              <w:ind w:left="0"/>
              <w:jc w:val="center"/>
              <w:outlineLvl w:val="0"/>
            </w:pPr>
            <w:r w:rsidRPr="00495683">
              <w:rPr>
                <w:rFonts w:eastAsia="Calibri" w:cs="Times New Roman"/>
                <w:color w:val="FF0000"/>
                <w:sz w:val="20"/>
                <w:szCs w:val="20"/>
              </w:rPr>
              <w:t>Worse than Q</w:t>
            </w:r>
            <w:r>
              <w:rPr>
                <w:rFonts w:eastAsia="Calibri" w:cs="Times New Roman"/>
                <w:color w:val="FF0000"/>
                <w:sz w:val="20"/>
                <w:szCs w:val="20"/>
              </w:rPr>
              <w:t>2</w:t>
            </w:r>
            <w:r w:rsidRPr="00495683">
              <w:rPr>
                <w:rFonts w:eastAsia="Calibri" w:cs="Times New Roman"/>
                <w:color w:val="FF0000"/>
                <w:sz w:val="20"/>
                <w:szCs w:val="20"/>
              </w:rPr>
              <w:t xml:space="preserve"> 202</w:t>
            </w:r>
            <w:r>
              <w:rPr>
                <w:rFonts w:eastAsia="Calibri" w:cs="Times New Roman"/>
                <w:color w:val="FF0000"/>
                <w:sz w:val="20"/>
                <w:szCs w:val="20"/>
              </w:rPr>
              <w:t>0</w:t>
            </w:r>
            <w:r w:rsidRPr="00495683">
              <w:rPr>
                <w:rFonts w:eastAsia="Calibri" w:cs="Times New Roman"/>
                <w:color w:val="FF0000"/>
                <w:sz w:val="20"/>
                <w:szCs w:val="20"/>
              </w:rPr>
              <w:t>/2</w:t>
            </w:r>
            <w:r>
              <w:rPr>
                <w:rFonts w:eastAsia="Calibri" w:cs="Times New Roman"/>
                <w:color w:val="FF0000"/>
                <w:sz w:val="20"/>
                <w:szCs w:val="20"/>
              </w:rPr>
              <w:t>1</w:t>
            </w:r>
          </w:p>
        </w:tc>
      </w:tr>
      <w:tr w:rsidR="00066063" w14:paraId="1AD4B48E" w14:textId="77777777" w:rsidTr="00AE1F7D">
        <w:trPr>
          <w:trHeight w:val="2967"/>
        </w:trPr>
        <w:tc>
          <w:tcPr>
            <w:tcW w:w="3096" w:type="dxa"/>
            <w:shd w:val="clear" w:color="auto" w:fill="auto"/>
          </w:tcPr>
          <w:p w14:paraId="1AD4B482" w14:textId="77777777" w:rsidR="00AE1F7D" w:rsidRPr="00D7189D" w:rsidRDefault="00907B19" w:rsidP="00AE1F7D">
            <w:pPr>
              <w:pStyle w:val="ListParagraph"/>
              <w:widowControl w:val="0"/>
              <w:ind w:left="0"/>
              <w:outlineLvl w:val="0"/>
              <w:rPr>
                <w:b/>
                <w:bCs/>
              </w:rPr>
            </w:pPr>
            <w:r w:rsidRPr="003F121D">
              <w:rPr>
                <w:rFonts w:ascii="Arial" w:eastAsia="Calibri" w:hAnsi="Arial" w:cs="Times New Roman"/>
                <w:b/>
                <w:bCs/>
              </w:rPr>
              <w:t>Commentary</w:t>
            </w:r>
            <w:r>
              <w:rPr>
                <w:rFonts w:ascii="Arial" w:eastAsia="Calibri" w:hAnsi="Arial" w:cs="Times New Roman"/>
                <w:b/>
                <w:bCs/>
              </w:rPr>
              <w:t>:</w:t>
            </w:r>
          </w:p>
        </w:tc>
        <w:tc>
          <w:tcPr>
            <w:tcW w:w="6685" w:type="dxa"/>
            <w:gridSpan w:val="5"/>
            <w:tcBorders>
              <w:top w:val="single" w:sz="4" w:space="0" w:color="auto"/>
              <w:left w:val="single" w:sz="4" w:space="0" w:color="auto"/>
              <w:bottom w:val="single" w:sz="4" w:space="0" w:color="auto"/>
              <w:right w:val="single" w:sz="4" w:space="0" w:color="auto"/>
            </w:tcBorders>
            <w:vAlign w:val="center"/>
          </w:tcPr>
          <w:p w14:paraId="1AD4B483" w14:textId="77777777" w:rsidR="001740B5" w:rsidRDefault="00907B19" w:rsidP="001740B5">
            <w:pPr>
              <w:pStyle w:val="ListParagraph"/>
              <w:widowControl w:val="0"/>
              <w:ind w:left="0"/>
              <w:outlineLvl w:val="0"/>
            </w:pPr>
            <w:bookmarkStart w:id="4" w:name="_Hlk86940703"/>
            <w:bookmarkStart w:id="5" w:name="_Hlk80367885"/>
            <w:r>
              <w:t>Previous performance had shown an increase in the use of online self-service.  The upward trend is likely to have been due to Covid and the impact of social restrictions. This has now begun to decrease, but current performance still presents as an improvement when compared to the same period pre-covid (21%, 2019/20).</w:t>
            </w:r>
          </w:p>
          <w:p w14:paraId="1AD4B484" w14:textId="77777777" w:rsidR="001740B5" w:rsidRDefault="007474A4" w:rsidP="001740B5">
            <w:pPr>
              <w:pStyle w:val="ListParagraph"/>
              <w:widowControl w:val="0"/>
              <w:ind w:left="0"/>
              <w:outlineLvl w:val="0"/>
            </w:pPr>
          </w:p>
          <w:p w14:paraId="1AD4B485" w14:textId="31925938" w:rsidR="00893C75" w:rsidRDefault="007474A4" w:rsidP="001740B5">
            <w:pPr>
              <w:pStyle w:val="ListParagraph"/>
              <w:widowControl w:val="0"/>
              <w:ind w:left="0"/>
              <w:outlineLvl w:val="0"/>
            </w:pPr>
          </w:p>
          <w:p w14:paraId="1AD4B486" w14:textId="77777777" w:rsidR="00AE1F7D" w:rsidRDefault="007474A4" w:rsidP="00893C75">
            <w:pPr>
              <w:pStyle w:val="ListParagraph"/>
              <w:widowControl w:val="0"/>
              <w:ind w:left="0"/>
              <w:outlineLvl w:val="0"/>
            </w:pPr>
          </w:p>
          <w:p w14:paraId="1AD4B488" w14:textId="77777777" w:rsidR="00AE1F7D" w:rsidRDefault="007474A4" w:rsidP="00AE1F7D">
            <w:pPr>
              <w:pStyle w:val="ListParagraph"/>
              <w:widowControl w:val="0"/>
              <w:ind w:left="0"/>
              <w:outlineLvl w:val="0"/>
            </w:pPr>
          </w:p>
          <w:p w14:paraId="1AD4B489" w14:textId="77777777" w:rsidR="00AE1F7D" w:rsidRDefault="00907B19" w:rsidP="00AE1F7D">
            <w:pPr>
              <w:pStyle w:val="ListParagraph"/>
              <w:widowControl w:val="0"/>
              <w:ind w:left="0"/>
              <w:outlineLvl w:val="0"/>
            </w:pPr>
            <w:r>
              <w:t xml:space="preserve">Maintaining and growing a shift to digital self-serve requires a number of actions in order for the council to meet its target. The following actions are to be taken to improve and encourage channel shift to online self-serve. The below represent long term actions to sustain change and include: </w:t>
            </w:r>
          </w:p>
          <w:p w14:paraId="1AD4B48A" w14:textId="77777777" w:rsidR="00AE1F7D" w:rsidRDefault="007474A4" w:rsidP="00AE1F7D">
            <w:pPr>
              <w:pStyle w:val="ListParagraph"/>
              <w:widowControl w:val="0"/>
              <w:ind w:left="0"/>
              <w:outlineLvl w:val="0"/>
            </w:pPr>
          </w:p>
          <w:p w14:paraId="1AD4B48B" w14:textId="77777777" w:rsidR="00AE1F7D" w:rsidRDefault="00907B19" w:rsidP="00AE1F7D">
            <w:pPr>
              <w:pStyle w:val="ListParagraph"/>
              <w:widowControl w:val="0"/>
              <w:numPr>
                <w:ilvl w:val="0"/>
                <w:numId w:val="22"/>
              </w:numPr>
              <w:outlineLvl w:val="0"/>
            </w:pPr>
            <w:r>
              <w:t xml:space="preserve">the delivery of digital skills programmes to enable residents to </w:t>
            </w:r>
            <w:r w:rsidRPr="005052CB">
              <w:t>use digital services to access council functions</w:t>
            </w:r>
            <w:r>
              <w:t>;</w:t>
            </w:r>
            <w:r w:rsidRPr="005052CB">
              <w:t xml:space="preserve"> </w:t>
            </w:r>
          </w:p>
          <w:p w14:paraId="1AD4B48C" w14:textId="77777777" w:rsidR="00AE1F7D" w:rsidRDefault="00907B19" w:rsidP="00AE1F7D">
            <w:pPr>
              <w:pStyle w:val="ListParagraph"/>
              <w:widowControl w:val="0"/>
              <w:numPr>
                <w:ilvl w:val="0"/>
                <w:numId w:val="22"/>
              </w:numPr>
              <w:outlineLvl w:val="0"/>
            </w:pPr>
            <w:r>
              <w:t xml:space="preserve">a </w:t>
            </w:r>
            <w:r w:rsidRPr="005052CB">
              <w:t>review of</w:t>
            </w:r>
            <w:r>
              <w:t xml:space="preserve"> the</w:t>
            </w:r>
            <w:r w:rsidRPr="005052CB">
              <w:t xml:space="preserve"> online services</w:t>
            </w:r>
            <w:r>
              <w:t xml:space="preserve"> to</w:t>
            </w:r>
            <w:r w:rsidRPr="005052CB">
              <w:t xml:space="preserve"> ensure that they are simple</w:t>
            </w:r>
            <w:r>
              <w:t xml:space="preserve">, </w:t>
            </w:r>
            <w:r>
              <w:rPr>
                <w:rFonts w:eastAsia="Times New Roman"/>
              </w:rPr>
              <w:t>provide an end to end resolution</w:t>
            </w:r>
            <w:r>
              <w:t xml:space="preserve">, and represent all council self-serve channels; </w:t>
            </w:r>
          </w:p>
          <w:p w14:paraId="1AD4B48D" w14:textId="77777777" w:rsidR="00AE1F7D" w:rsidRPr="00C97F19" w:rsidRDefault="00907B19" w:rsidP="00AE1F7D">
            <w:pPr>
              <w:pStyle w:val="ListParagraph"/>
              <w:widowControl w:val="0"/>
              <w:numPr>
                <w:ilvl w:val="0"/>
                <w:numId w:val="22"/>
              </w:numPr>
              <w:outlineLvl w:val="0"/>
            </w:pPr>
            <w:r>
              <w:t>a communications campaign will</w:t>
            </w:r>
            <w:r w:rsidRPr="005052CB">
              <w:t xml:space="preserve"> </w:t>
            </w:r>
            <w:r>
              <w:t xml:space="preserve">be launched to </w:t>
            </w:r>
            <w:r w:rsidRPr="005052CB">
              <w:t>promote the benefits of online services to customers</w:t>
            </w:r>
            <w:bookmarkEnd w:id="4"/>
            <w:r>
              <w:t xml:space="preserve">.  </w:t>
            </w:r>
            <w:bookmarkEnd w:id="5"/>
          </w:p>
        </w:tc>
      </w:tr>
    </w:tbl>
    <w:p w14:paraId="1AD4B48F" w14:textId="77777777" w:rsidR="00AE1F7D" w:rsidRDefault="007474A4" w:rsidP="00AE1F7D">
      <w:pPr>
        <w:spacing w:after="0" w:line="240" w:lineRule="auto"/>
        <w:contextualSpacing/>
        <w:rPr>
          <w:rFonts w:ascii="Arial" w:eastAsia="Calibri" w:hAnsi="Arial" w:cs="Arial"/>
        </w:rPr>
      </w:pPr>
    </w:p>
    <w:p w14:paraId="1AD4B490" w14:textId="77777777" w:rsidR="00AE1F7D" w:rsidRDefault="007474A4" w:rsidP="00AE1F7D">
      <w:pPr>
        <w:spacing w:after="0" w:line="240" w:lineRule="auto"/>
        <w:contextualSpacing/>
        <w:rPr>
          <w:rFonts w:ascii="Arial" w:eastAsia="Calibri" w:hAnsi="Arial" w:cs="Arial"/>
        </w:rPr>
      </w:pPr>
    </w:p>
    <w:p w14:paraId="1AD4B491" w14:textId="77777777" w:rsidR="00AE1F7D" w:rsidRDefault="007474A4" w:rsidP="00AE1F7D">
      <w:pPr>
        <w:spacing w:after="0" w:line="240" w:lineRule="auto"/>
        <w:contextualSpacing/>
        <w:rPr>
          <w:rFonts w:ascii="Arial" w:eastAsia="Calibri" w:hAnsi="Arial" w:cs="Arial"/>
        </w:rPr>
        <w:sectPr w:rsidR="00AE1F7D" w:rsidSect="00AE1F7D">
          <w:pgSz w:w="11906" w:h="16838"/>
          <w:pgMar w:top="1440" w:right="1440" w:bottom="993" w:left="1440" w:header="708" w:footer="708" w:gutter="0"/>
          <w:cols w:space="708"/>
          <w:docGrid w:linePitch="360"/>
        </w:sectPr>
      </w:pPr>
    </w:p>
    <w:p w14:paraId="1AD4B492" w14:textId="77777777" w:rsidR="00AE1F7D" w:rsidRDefault="007474A4" w:rsidP="00AE1F7D">
      <w:pPr>
        <w:spacing w:after="0" w:line="240" w:lineRule="auto"/>
        <w:contextualSpacing/>
        <w:rPr>
          <w:rFonts w:ascii="Arial" w:eastAsia="Calibri" w:hAnsi="Arial" w:cs="Arial"/>
        </w:rPr>
      </w:pPr>
    </w:p>
    <w:tbl>
      <w:tblPr>
        <w:tblpPr w:leftFromText="180" w:rightFromText="180" w:vertAnchor="text" w:horzAnchor="margin" w:tblpXSpec="center" w:tblpY="-1064"/>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084"/>
        <w:gridCol w:w="3087"/>
      </w:tblGrid>
      <w:tr w:rsidR="00066063" w14:paraId="1AD4B496" w14:textId="77777777" w:rsidTr="00AE1F7D">
        <w:trPr>
          <w:trHeight w:val="1758"/>
        </w:trPr>
        <w:tc>
          <w:tcPr>
            <w:tcW w:w="9254" w:type="dxa"/>
            <w:gridSpan w:val="3"/>
            <w:tcBorders>
              <w:top w:val="nil"/>
              <w:left w:val="nil"/>
              <w:right w:val="nil"/>
            </w:tcBorders>
            <w:shd w:val="clear" w:color="auto" w:fill="auto"/>
          </w:tcPr>
          <w:p w14:paraId="1AD4B493" w14:textId="77777777" w:rsidR="00AE1F7D" w:rsidRPr="0077663E" w:rsidRDefault="00907B19" w:rsidP="00AE1F7D">
            <w:pPr>
              <w:widowControl w:val="0"/>
              <w:spacing w:after="0" w:line="256" w:lineRule="auto"/>
              <w:ind w:firstLine="208"/>
              <w:contextualSpacing/>
              <w:outlineLvl w:val="0"/>
              <w:rPr>
                <w:rFonts w:ascii="Arial" w:eastAsia="Calibri" w:hAnsi="Arial" w:cs="Arial"/>
                <w:b/>
              </w:rPr>
            </w:pPr>
            <w:r w:rsidRPr="0077663E">
              <w:rPr>
                <w:rFonts w:ascii="Arial" w:eastAsia="Calibri" w:hAnsi="Arial" w:cs="Times New Roman"/>
              </w:rPr>
              <w:br w:type="page"/>
            </w:r>
            <w:bookmarkStart w:id="6" w:name="_Hlk54078121"/>
            <w:r w:rsidRPr="0077663E">
              <w:rPr>
                <w:rFonts w:ascii="Arial" w:eastAsia="Calibri" w:hAnsi="Arial" w:cs="Times New Roman"/>
                <w:noProof/>
              </w:rPr>
              <w:drawing>
                <wp:inline distT="0" distB="0" distL="0" distR="0" wp14:anchorId="1AD4B67F" wp14:editId="1AD4B680">
                  <wp:extent cx="11430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27607"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11627" t="9941" r="18605" b="11696"/>
                          <a:stretch>
                            <a:fillRect/>
                          </a:stretch>
                        </pic:blipFill>
                        <pic:spPr bwMode="auto">
                          <a:xfrm>
                            <a:off x="0" y="0"/>
                            <a:ext cx="1143000" cy="1276350"/>
                          </a:xfrm>
                          <a:prstGeom prst="rect">
                            <a:avLst/>
                          </a:prstGeom>
                          <a:noFill/>
                          <a:ln>
                            <a:noFill/>
                          </a:ln>
                        </pic:spPr>
                      </pic:pic>
                    </a:graphicData>
                  </a:graphic>
                </wp:inline>
              </w:drawing>
            </w:r>
            <w:r w:rsidRPr="0077663E">
              <w:rPr>
                <w:rFonts w:ascii="Arial" w:eastAsia="Calibri" w:hAnsi="Arial" w:cs="Times New Roman"/>
                <w:noProof/>
              </w:rPr>
              <w:drawing>
                <wp:inline distT="0" distB="0" distL="0" distR="0" wp14:anchorId="1AD4B681" wp14:editId="1AD4B682">
                  <wp:extent cx="29241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964204"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24175" cy="971550"/>
                          </a:xfrm>
                          <a:prstGeom prst="rect">
                            <a:avLst/>
                          </a:prstGeom>
                          <a:noFill/>
                          <a:ln>
                            <a:noFill/>
                          </a:ln>
                        </pic:spPr>
                      </pic:pic>
                    </a:graphicData>
                  </a:graphic>
                </wp:inline>
              </w:drawing>
            </w:r>
          </w:p>
          <w:p w14:paraId="1AD4B494" w14:textId="77777777" w:rsidR="00AE1F7D" w:rsidRPr="0077663E" w:rsidRDefault="007474A4" w:rsidP="00AE1F7D">
            <w:pPr>
              <w:widowControl w:val="0"/>
              <w:spacing w:after="0" w:line="256" w:lineRule="auto"/>
              <w:contextualSpacing/>
              <w:outlineLvl w:val="0"/>
              <w:rPr>
                <w:rFonts w:ascii="Arial" w:eastAsia="Calibri" w:hAnsi="Arial" w:cs="Arial"/>
                <w:b/>
                <w:color w:val="E3322D"/>
              </w:rPr>
            </w:pPr>
          </w:p>
          <w:p w14:paraId="1AD4B495" w14:textId="77777777" w:rsidR="00AE1F7D" w:rsidRPr="0077663E" w:rsidRDefault="00907B19" w:rsidP="00AE1F7D">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A PLACE WHERE:</w:t>
            </w:r>
          </w:p>
        </w:tc>
      </w:tr>
      <w:tr w:rsidR="00066063" w14:paraId="1AD4B49A" w14:textId="77777777" w:rsidTr="00AE1F7D">
        <w:trPr>
          <w:trHeight w:val="816"/>
        </w:trPr>
        <w:tc>
          <w:tcPr>
            <w:tcW w:w="3083" w:type="dxa"/>
            <w:tcBorders>
              <w:top w:val="single" w:sz="18" w:space="0" w:color="FFFFFF"/>
              <w:left w:val="single" w:sz="18" w:space="0" w:color="FFFFFF"/>
              <w:bottom w:val="single" w:sz="18" w:space="0" w:color="FFFFFF"/>
              <w:right w:val="single" w:sz="18" w:space="0" w:color="FFFFFF"/>
            </w:tcBorders>
            <w:shd w:val="clear" w:color="auto" w:fill="auto"/>
          </w:tcPr>
          <w:p w14:paraId="1AD4B497" w14:textId="77777777" w:rsidR="00AE1F7D" w:rsidRPr="0077663E" w:rsidRDefault="00907B19" w:rsidP="00AE1F7D">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Residents have positive mental health</w:t>
            </w:r>
          </w:p>
        </w:tc>
        <w:tc>
          <w:tcPr>
            <w:tcW w:w="3084" w:type="dxa"/>
            <w:tcBorders>
              <w:top w:val="single" w:sz="18" w:space="0" w:color="FFFFFF"/>
              <w:left w:val="single" w:sz="18" w:space="0" w:color="FFFFFF"/>
              <w:bottom w:val="single" w:sz="18" w:space="0" w:color="FFFFFF"/>
              <w:right w:val="single" w:sz="18" w:space="0" w:color="FFFFFF"/>
            </w:tcBorders>
            <w:shd w:val="clear" w:color="auto" w:fill="auto"/>
          </w:tcPr>
          <w:p w14:paraId="1AD4B498" w14:textId="77777777" w:rsidR="00AE1F7D" w:rsidRPr="0077663E" w:rsidRDefault="00907B19" w:rsidP="00AE1F7D">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People get involved and have a sense of belonging</w:t>
            </w:r>
          </w:p>
        </w:tc>
        <w:tc>
          <w:tcPr>
            <w:tcW w:w="3085" w:type="dxa"/>
            <w:tcBorders>
              <w:top w:val="single" w:sz="18" w:space="0" w:color="FFFFFF"/>
              <w:left w:val="single" w:sz="18" w:space="0" w:color="FFFFFF"/>
              <w:bottom w:val="single" w:sz="18" w:space="0" w:color="FFFFFF"/>
              <w:right w:val="single" w:sz="18" w:space="0" w:color="FFFFFF"/>
            </w:tcBorders>
            <w:shd w:val="clear" w:color="auto" w:fill="auto"/>
          </w:tcPr>
          <w:p w14:paraId="1AD4B499" w14:textId="77777777" w:rsidR="00AE1F7D" w:rsidRPr="0077663E" w:rsidRDefault="00907B19" w:rsidP="00AE1F7D">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Communities can access services and support when they need them</w:t>
            </w:r>
          </w:p>
        </w:tc>
      </w:tr>
    </w:tbl>
    <w:bookmarkEnd w:id="6"/>
    <w:p w14:paraId="1AD4B49B" w14:textId="77777777" w:rsidR="00AE1F7D" w:rsidRPr="00460D79" w:rsidRDefault="00907B19" w:rsidP="00AE1F7D">
      <w:pPr>
        <w:pStyle w:val="Heading2"/>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1AD4B49C" w14:textId="77777777" w:rsidR="00AE1F7D" w:rsidRPr="00200478" w:rsidRDefault="00907B19" w:rsidP="00AE1F7D">
      <w:pPr>
        <w:pStyle w:val="ListParagraph"/>
        <w:numPr>
          <w:ilvl w:val="0"/>
          <w:numId w:val="8"/>
        </w:numPr>
      </w:pPr>
      <w:r>
        <w:t>Developing mental health support for young people has moved forward within the quarter, with the initial actions to provide internal staff with an</w:t>
      </w:r>
      <w:r w:rsidRPr="00200478">
        <w:t xml:space="preserve"> accredited Mental Health First Aider</w:t>
      </w:r>
      <w:r>
        <w:t xml:space="preserve"> training.  The </w:t>
      </w:r>
      <w:r w:rsidRPr="00200478">
        <w:t xml:space="preserve">course </w:t>
      </w:r>
      <w:r>
        <w:t>has been delivered</w:t>
      </w:r>
      <w:r w:rsidRPr="00200478">
        <w:t xml:space="preserve"> through Lancashire Mind</w:t>
      </w:r>
      <w:r>
        <w:t>, and has been completed by</w:t>
      </w:r>
      <w:r w:rsidRPr="00200478">
        <w:t xml:space="preserve"> 48 members </w:t>
      </w:r>
      <w:r>
        <w:t xml:space="preserve">of staff.  Those employees were identified as individuals that are more likely </w:t>
      </w:r>
      <w:r w:rsidRPr="00200478">
        <w:t>to</w:t>
      </w:r>
      <w:r>
        <w:t xml:space="preserve"> come into</w:t>
      </w:r>
      <w:r w:rsidRPr="00200478">
        <w:t xml:space="preserve"> contact with young people</w:t>
      </w:r>
      <w:r>
        <w:t xml:space="preserve"> who may be vulnerable</w:t>
      </w:r>
      <w:r w:rsidRPr="00200478">
        <w:t xml:space="preserve">. The course </w:t>
      </w:r>
      <w:r>
        <w:t>provides officers</w:t>
      </w:r>
      <w:r w:rsidRPr="00200478">
        <w:t xml:space="preserve"> with the skills and knowledge to</w:t>
      </w:r>
      <w:r>
        <w:t xml:space="preserve"> recognise mental health needs, </w:t>
      </w:r>
      <w:r w:rsidRPr="00200478">
        <w:t>support young people</w:t>
      </w:r>
      <w:r>
        <w:t xml:space="preserve"> with</w:t>
      </w:r>
      <w:r w:rsidRPr="00200478">
        <w:t xml:space="preserve"> empath</w:t>
      </w:r>
      <w:r>
        <w:t>y</w:t>
      </w:r>
      <w:r w:rsidRPr="00200478">
        <w:t xml:space="preserve"> and understand how to direct individuals to the appropriate </w:t>
      </w:r>
      <w:r>
        <w:t xml:space="preserve">professional </w:t>
      </w:r>
      <w:r w:rsidRPr="00200478">
        <w:t xml:space="preserve">support. </w:t>
      </w:r>
      <w:r>
        <w:t>This is one initiative in a programme of support that will continue to be developed over the coming months.  During the</w:t>
      </w:r>
      <w:r w:rsidRPr="00200478">
        <w:t xml:space="preserve"> next quarter, the </w:t>
      </w:r>
      <w:r>
        <w:t>c</w:t>
      </w:r>
      <w:r w:rsidRPr="00200478">
        <w:t xml:space="preserve">ouncil will </w:t>
      </w:r>
      <w:r>
        <w:t xml:space="preserve">continue in its efforts to raise the awareness for the benefits of </w:t>
      </w:r>
      <w:r w:rsidRPr="00200478">
        <w:t>mental health</w:t>
      </w:r>
      <w:r>
        <w:t xml:space="preserve"> first aid by providing</w:t>
      </w:r>
      <w:r w:rsidRPr="00200478">
        <w:t xml:space="preserve"> awareness sessions to </w:t>
      </w:r>
      <w:r>
        <w:t xml:space="preserve">identified </w:t>
      </w:r>
      <w:r w:rsidRPr="00200478">
        <w:t>partner organisations that work directly with vulnerable young people</w:t>
      </w:r>
      <w:r>
        <w:t xml:space="preserve">. </w:t>
      </w:r>
    </w:p>
    <w:p w14:paraId="1AD4B49D" w14:textId="77777777" w:rsidR="00AE1F7D" w:rsidRPr="00066C1A" w:rsidRDefault="007474A4" w:rsidP="00AE1F7D">
      <w:pPr>
        <w:spacing w:after="0" w:line="240" w:lineRule="auto"/>
        <w:rPr>
          <w:rFonts w:cs="Arial"/>
          <w:iCs/>
        </w:rPr>
      </w:pPr>
    </w:p>
    <w:p w14:paraId="1AD4B49E" w14:textId="77777777" w:rsidR="00AE1F7D" w:rsidRDefault="00907B19" w:rsidP="00AE1F7D">
      <w:pPr>
        <w:pStyle w:val="ListParagraph"/>
        <w:numPr>
          <w:ilvl w:val="0"/>
          <w:numId w:val="8"/>
        </w:numPr>
        <w:rPr>
          <w:rFonts w:cs="Arial"/>
          <w:iCs/>
        </w:rPr>
      </w:pPr>
      <w:bookmarkStart w:id="7" w:name="_Hlk85726332"/>
      <w:r w:rsidRPr="0007695C">
        <w:rPr>
          <w:rFonts w:cs="Arial"/>
          <w:iCs/>
        </w:rPr>
        <w:t xml:space="preserve">The Youth Council programme has progressed this quarter with the commission of Shoutout UK, a young people’s advocacy service that builds political literacy skills with young people to provide support and confidence to take part in the Youth Council. The commission includes a national look to politics and the political system, local politics (e.g. voting/local issues), developing public speaking, debating exercises and future engagement and development programme. Shoutout UK will deliver sessions to up to 30 young people, who will design and create the structure of the Youth Council which will be delivered as part of the planned programme in January 2022. The recruitment of the 30 young people commenced in September </w:t>
      </w:r>
      <w:r>
        <w:rPr>
          <w:rFonts w:cs="Arial"/>
          <w:iCs/>
        </w:rPr>
        <w:t>via</w:t>
      </w:r>
      <w:r w:rsidRPr="0007695C">
        <w:rPr>
          <w:rFonts w:cs="Arial"/>
          <w:iCs/>
        </w:rPr>
        <w:t xml:space="preserve"> active engagement with </w:t>
      </w:r>
      <w:r>
        <w:rPr>
          <w:rFonts w:cs="Arial"/>
          <w:iCs/>
        </w:rPr>
        <w:t>two</w:t>
      </w:r>
      <w:r w:rsidRPr="0007695C">
        <w:rPr>
          <w:rFonts w:cs="Arial"/>
          <w:iCs/>
        </w:rPr>
        <w:t xml:space="preserve"> schools and through the use of social medi</w:t>
      </w:r>
      <w:r>
        <w:rPr>
          <w:rFonts w:cs="Arial"/>
          <w:iCs/>
        </w:rPr>
        <w:t>a</w:t>
      </w:r>
      <w:bookmarkEnd w:id="7"/>
      <w:r>
        <w:rPr>
          <w:rFonts w:cs="Arial"/>
          <w:iCs/>
        </w:rPr>
        <w:t>.</w:t>
      </w:r>
    </w:p>
    <w:p w14:paraId="1AD4B49F" w14:textId="77777777" w:rsidR="00AE1F7D" w:rsidRPr="005A6284" w:rsidRDefault="007474A4" w:rsidP="00AE1F7D">
      <w:pPr>
        <w:pStyle w:val="ListParagraph"/>
        <w:ind w:left="360"/>
        <w:rPr>
          <w:rFonts w:ascii="Arial" w:eastAsia="Calibri" w:hAnsi="Arial"/>
        </w:rPr>
      </w:pPr>
      <w:bookmarkStart w:id="8" w:name="_Hlk80365593"/>
      <w:bookmarkStart w:id="9" w:name="_Hlk80365642"/>
    </w:p>
    <w:bookmarkEnd w:id="8"/>
    <w:p w14:paraId="1AD4B4A0" w14:textId="77777777" w:rsidR="00AE1F7D" w:rsidRPr="00066C1A" w:rsidRDefault="00907B19" w:rsidP="00AE1F7D">
      <w:pPr>
        <w:pStyle w:val="ListParagraph"/>
        <w:numPr>
          <w:ilvl w:val="0"/>
          <w:numId w:val="8"/>
        </w:numPr>
        <w:spacing w:after="0" w:line="240" w:lineRule="auto"/>
        <w:rPr>
          <w:rFonts w:ascii="Arial" w:eastAsia="Calibri" w:hAnsi="Arial" w:cs="Arial"/>
        </w:rPr>
      </w:pPr>
      <w:r w:rsidRPr="00066C1A">
        <w:rPr>
          <w:rFonts w:cs="Arial"/>
          <w:iCs/>
        </w:rPr>
        <w:t xml:space="preserve">The Community Hubs has made progress in quarter two with hub action plans being delivered and monitored through regular Community Hub planning meetings and hub chair briefings. Examples of the progress made within the action plans include; </w:t>
      </w:r>
      <w:bookmarkStart w:id="10" w:name="_Hlk85722116"/>
      <w:r w:rsidRPr="00066C1A">
        <w:rPr>
          <w:rFonts w:cs="Arial"/>
          <w:iCs/>
        </w:rPr>
        <w:t>the installation of</w:t>
      </w:r>
      <w:r w:rsidRPr="00D867B2">
        <w:t xml:space="preserve"> </w:t>
      </w:r>
      <w:r w:rsidRPr="00066C1A">
        <w:rPr>
          <w:rFonts w:cs="Arial"/>
          <w:iCs/>
        </w:rPr>
        <w:t>a community defibrillator at Walton le Dale Junior football club; Brownedge Christians Together foodbank received new and sustainable premise at St Aiden’s Church</w:t>
      </w:r>
      <w:r>
        <w:rPr>
          <w:rFonts w:cs="Arial"/>
          <w:iCs/>
        </w:rPr>
        <w:t xml:space="preserve"> supported by the Hubs Boost Fund</w:t>
      </w:r>
      <w:r w:rsidRPr="00066C1A">
        <w:rPr>
          <w:rFonts w:cs="Arial"/>
          <w:iCs/>
        </w:rPr>
        <w:t>, successful delivery of South Ribble in Bloom</w:t>
      </w:r>
      <w:r>
        <w:rPr>
          <w:rFonts w:cs="Arial"/>
          <w:iCs/>
        </w:rPr>
        <w:t xml:space="preserve"> with 37 entries and 42 people attending the celebration event;</w:t>
      </w:r>
      <w:r w:rsidRPr="00066C1A">
        <w:rPr>
          <w:rFonts w:cs="Arial"/>
          <w:iCs/>
        </w:rPr>
        <w:t xml:space="preserve"> resocialisation/social isolation interventions</w:t>
      </w:r>
      <w:r>
        <w:rPr>
          <w:rFonts w:cs="Arial"/>
          <w:iCs/>
        </w:rPr>
        <w:t xml:space="preserve"> such as chatty cafes </w:t>
      </w:r>
      <w:r w:rsidRPr="00066C1A">
        <w:rPr>
          <w:rFonts w:cs="Arial"/>
          <w:iCs/>
        </w:rPr>
        <w:t xml:space="preserve"> have been delivered within all Community Hub areas</w:t>
      </w:r>
      <w:r>
        <w:rPr>
          <w:rFonts w:cs="Arial"/>
          <w:iCs/>
        </w:rPr>
        <w:t xml:space="preserve"> </w:t>
      </w:r>
      <w:r>
        <w:rPr>
          <w:rFonts w:eastAsia="Times New Roman"/>
        </w:rPr>
        <w:t>to build confidence due to increased social anxiety caused by the pandemic</w:t>
      </w:r>
      <w:r w:rsidRPr="00066C1A">
        <w:rPr>
          <w:rFonts w:cs="Arial"/>
          <w:iCs/>
        </w:rPr>
        <w:t xml:space="preserve">. </w:t>
      </w:r>
      <w:bookmarkEnd w:id="10"/>
      <w:r w:rsidRPr="00066C1A">
        <w:rPr>
          <w:rFonts w:cs="Arial"/>
          <w:iCs/>
        </w:rPr>
        <w:t xml:space="preserve">Each hub area has had meetings to provide insight and autonomy on the way each hub area will operate going forward. Workshops will take place with Cabinet, Community Hub Chairs and Vice Chairs to discuss and agree the terms of reference for each hub area in quarter three. A report is to be presented to Cabinet in November 2021, which will </w:t>
      </w:r>
      <w:r>
        <w:rPr>
          <w:rFonts w:cs="Arial"/>
          <w:iCs/>
        </w:rPr>
        <w:t>review</w:t>
      </w:r>
      <w:r w:rsidRPr="00066C1A">
        <w:rPr>
          <w:rFonts w:cs="Arial"/>
          <w:iCs/>
        </w:rPr>
        <w:t xml:space="preserve"> the achievements </w:t>
      </w:r>
      <w:r>
        <w:rPr>
          <w:rFonts w:cs="Arial"/>
          <w:iCs/>
        </w:rPr>
        <w:t xml:space="preserve">and progress </w:t>
      </w:r>
      <w:r w:rsidRPr="00066C1A">
        <w:rPr>
          <w:rFonts w:cs="Arial"/>
          <w:iCs/>
        </w:rPr>
        <w:t xml:space="preserve">of the Community Hubs over the last twelve months. </w:t>
      </w:r>
    </w:p>
    <w:bookmarkEnd w:id="9"/>
    <w:p w14:paraId="1AD4B4A1" w14:textId="77777777" w:rsidR="00AE1F7D" w:rsidRDefault="007474A4" w:rsidP="00AE1F7D">
      <w:pPr>
        <w:spacing w:after="0" w:line="240" w:lineRule="auto"/>
        <w:rPr>
          <w:rFonts w:cs="Arial"/>
          <w:iCs/>
        </w:rPr>
      </w:pPr>
    </w:p>
    <w:p w14:paraId="1AD4B4A2" w14:textId="77777777" w:rsidR="00AE1F7D" w:rsidRDefault="00907B19" w:rsidP="00AE1F7D">
      <w:pPr>
        <w:pStyle w:val="ListParagraph"/>
        <w:numPr>
          <w:ilvl w:val="0"/>
          <w:numId w:val="8"/>
        </w:numPr>
        <w:spacing w:after="0" w:line="240" w:lineRule="auto"/>
        <w:rPr>
          <w:rFonts w:ascii="Arial" w:eastAsia="Calibri" w:hAnsi="Arial" w:cs="Times New Roman"/>
        </w:rPr>
      </w:pPr>
      <w:r w:rsidRPr="0077663E">
        <w:rPr>
          <w:rFonts w:ascii="Arial" w:eastAsia="Calibri" w:hAnsi="Arial" w:cs="Times New Roman"/>
        </w:rPr>
        <w:lastRenderedPageBreak/>
        <w:t xml:space="preserve">Of the three projects within this priority, </w:t>
      </w:r>
      <w:r>
        <w:rPr>
          <w:rFonts w:ascii="Arial" w:eastAsia="Calibri" w:hAnsi="Arial" w:cs="Times New Roman"/>
        </w:rPr>
        <w:t>all three are</w:t>
      </w:r>
      <w:r w:rsidRPr="0077663E">
        <w:rPr>
          <w:rFonts w:ascii="Arial" w:eastAsia="Calibri" w:hAnsi="Arial" w:cs="Times New Roman"/>
        </w:rPr>
        <w:t xml:space="preserve"> rated green. </w:t>
      </w:r>
    </w:p>
    <w:p w14:paraId="1AD4B4A3" w14:textId="77777777" w:rsidR="00AE1F7D" w:rsidRDefault="007474A4" w:rsidP="00AE1F7D">
      <w:pPr>
        <w:pStyle w:val="ListParagraph"/>
        <w:spacing w:after="0" w:line="240" w:lineRule="auto"/>
        <w:ind w:left="360"/>
        <w:rPr>
          <w:rFonts w:ascii="Arial" w:eastAsia="Calibri" w:hAnsi="Arial" w:cs="Times New Roman"/>
        </w:rPr>
      </w:pPr>
    </w:p>
    <w:tbl>
      <w:tblPr>
        <w:tblW w:w="9896" w:type="dxa"/>
        <w:tblLook w:val="04A0" w:firstRow="1" w:lastRow="0" w:firstColumn="1" w:lastColumn="0" w:noHBand="0" w:noVBand="1"/>
      </w:tblPr>
      <w:tblGrid>
        <w:gridCol w:w="7824"/>
        <w:gridCol w:w="2072"/>
      </w:tblGrid>
      <w:tr w:rsidR="00066063" w14:paraId="1AD4B4A6" w14:textId="77777777" w:rsidTr="00AE1F7D">
        <w:trPr>
          <w:trHeight w:val="65"/>
          <w:tblHeader/>
        </w:trPr>
        <w:tc>
          <w:tcPr>
            <w:tcW w:w="7824" w:type="dxa"/>
            <w:tcBorders>
              <w:top w:val="single" w:sz="4" w:space="0" w:color="auto"/>
              <w:left w:val="single" w:sz="4" w:space="0" w:color="auto"/>
              <w:right w:val="single" w:sz="4" w:space="0" w:color="auto"/>
            </w:tcBorders>
            <w:shd w:val="clear" w:color="auto" w:fill="BFBFBF"/>
            <w:vAlign w:val="center"/>
          </w:tcPr>
          <w:p w14:paraId="1AD4B4A4" w14:textId="77777777" w:rsidR="00AE1F7D" w:rsidRPr="0077663E" w:rsidRDefault="007474A4" w:rsidP="00AE1F7D">
            <w:pPr>
              <w:spacing w:after="0" w:line="240" w:lineRule="auto"/>
              <w:rPr>
                <w:rFonts w:ascii="Arial" w:eastAsia="Times New Roman" w:hAnsi="Arial" w:cs="Times New Roman"/>
                <w:b/>
                <w:szCs w:val="20"/>
                <w:lang w:eastAsia="en-GB"/>
              </w:rPr>
            </w:pPr>
          </w:p>
        </w:tc>
        <w:tc>
          <w:tcPr>
            <w:tcW w:w="2072" w:type="dxa"/>
            <w:tcBorders>
              <w:top w:val="single" w:sz="4" w:space="0" w:color="auto"/>
              <w:left w:val="single" w:sz="4" w:space="0" w:color="auto"/>
              <w:right w:val="single" w:sz="4" w:space="0" w:color="auto"/>
            </w:tcBorders>
            <w:shd w:val="clear" w:color="auto" w:fill="BFBFBF"/>
            <w:vAlign w:val="center"/>
          </w:tcPr>
          <w:p w14:paraId="1AD4B4A5" w14:textId="77777777" w:rsidR="00AE1F7D" w:rsidRPr="0077663E" w:rsidRDefault="00907B19" w:rsidP="00AE1F7D">
            <w:pPr>
              <w:spacing w:after="0" w:line="240" w:lineRule="auto"/>
              <w:jc w:val="center"/>
              <w:rPr>
                <w:rFonts w:ascii="Arial" w:eastAsia="Times New Roman" w:hAnsi="Arial" w:cs="Times New Roman"/>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R="00066063" w14:paraId="1AD4B4AA" w14:textId="77777777" w:rsidTr="00AE1F7D">
        <w:trPr>
          <w:trHeight w:val="528"/>
          <w:tblHeader/>
        </w:trPr>
        <w:tc>
          <w:tcPr>
            <w:tcW w:w="7824" w:type="dxa"/>
            <w:tcBorders>
              <w:left w:val="single" w:sz="4" w:space="0" w:color="auto"/>
              <w:bottom w:val="single" w:sz="4" w:space="0" w:color="auto"/>
              <w:right w:val="single" w:sz="4" w:space="0" w:color="auto"/>
            </w:tcBorders>
            <w:shd w:val="clear" w:color="auto" w:fill="BFBFBF"/>
            <w:vAlign w:val="center"/>
          </w:tcPr>
          <w:p w14:paraId="1AD4B4A7" w14:textId="77777777" w:rsidR="00AE1F7D" w:rsidRPr="0077663E" w:rsidRDefault="00907B19" w:rsidP="00AE1F7D">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072" w:type="dxa"/>
            <w:tcBorders>
              <w:left w:val="single" w:sz="4" w:space="0" w:color="auto"/>
              <w:bottom w:val="single" w:sz="4" w:space="0" w:color="auto"/>
              <w:right w:val="single" w:sz="4" w:space="0" w:color="auto"/>
            </w:tcBorders>
            <w:shd w:val="clear" w:color="auto" w:fill="BFBFBF"/>
            <w:vAlign w:val="center"/>
          </w:tcPr>
          <w:p w14:paraId="1AD4B4A8" w14:textId="77777777" w:rsidR="00AE1F7D" w:rsidRPr="0077663E" w:rsidRDefault="00907B19"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2</w:t>
            </w:r>
          </w:p>
          <w:p w14:paraId="1AD4B4A9" w14:textId="77777777" w:rsidR="00AE1F7D" w:rsidRPr="0077663E" w:rsidRDefault="00907B19"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July</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Sept</w:t>
            </w:r>
            <w:r w:rsidRPr="0077663E">
              <w:rPr>
                <w:rFonts w:ascii="Arial" w:eastAsia="Times New Roman" w:hAnsi="Arial" w:cs="Arial"/>
                <w:b/>
                <w:szCs w:val="20"/>
                <w:lang w:eastAsia="en-GB"/>
              </w:rPr>
              <w:t>)</w:t>
            </w:r>
          </w:p>
        </w:tc>
      </w:tr>
      <w:tr w:rsidR="00066063" w14:paraId="1AD4B4AD" w14:textId="77777777" w:rsidTr="00AE1F7D">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1AD4B4AB" w14:textId="77777777" w:rsidR="00AE1F7D" w:rsidRPr="0077663E" w:rsidRDefault="00907B19" w:rsidP="00AE1F7D">
            <w:pPr>
              <w:spacing w:after="0" w:line="240" w:lineRule="auto"/>
              <w:rPr>
                <w:rFonts w:ascii="Arial" w:eastAsia="Times New Roman" w:hAnsi="Arial" w:cs="Arial"/>
                <w:szCs w:val="20"/>
                <w:lang w:eastAsia="en-GB"/>
              </w:rPr>
            </w:pPr>
            <w:bookmarkStart w:id="11" w:name="_Hlk29305238"/>
            <w:r w:rsidRPr="0077663E">
              <w:rPr>
                <w:rFonts w:ascii="Arial" w:eastAsia="Calibri" w:hAnsi="Arial" w:cs="Times New Roman"/>
                <w:b/>
                <w:szCs w:val="20"/>
                <w:lang w:eastAsia="en-GB"/>
              </w:rPr>
              <w:t>Establish South Ribble Together Hubs</w:t>
            </w:r>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14:paraId="1AD4B4AC" w14:textId="77777777" w:rsidR="00AE1F7D" w:rsidRPr="004877E7" w:rsidRDefault="00907B19" w:rsidP="00AE1F7D">
            <w:pPr>
              <w:spacing w:after="0" w:line="240" w:lineRule="auto"/>
              <w:jc w:val="center"/>
              <w:rPr>
                <w:rFonts w:ascii="Arial" w:eastAsia="Times New Roman" w:hAnsi="Arial" w:cs="Arial"/>
                <w:b/>
                <w:bCs/>
                <w:noProof/>
                <w:color w:val="FFFFFF" w:themeColor="background1"/>
                <w:szCs w:val="20"/>
                <w:lang w:eastAsia="en-GB"/>
              </w:rPr>
            </w:pPr>
            <w:r w:rsidRPr="004877E7">
              <w:rPr>
                <w:rFonts w:ascii="Arial" w:eastAsia="Times New Roman" w:hAnsi="Arial" w:cs="Arial"/>
                <w:b/>
                <w:bCs/>
                <w:noProof/>
                <w:color w:val="FFFFFF" w:themeColor="background1"/>
                <w:szCs w:val="20"/>
                <w:lang w:eastAsia="en-GB"/>
              </w:rPr>
              <w:t>GREEN</w:t>
            </w:r>
          </w:p>
        </w:tc>
      </w:tr>
      <w:tr w:rsidR="00066063" w14:paraId="1AD4B4B0" w14:textId="77777777" w:rsidTr="00AE1F7D">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1AD4B4AE" w14:textId="77777777" w:rsidR="00AE1F7D" w:rsidRPr="0077663E" w:rsidRDefault="00907B19" w:rsidP="00AE1F7D">
            <w:pPr>
              <w:spacing w:after="0" w:line="240" w:lineRule="auto"/>
              <w:rPr>
                <w:rFonts w:ascii="Arial" w:eastAsia="Times New Roman" w:hAnsi="Arial" w:cs="Arial"/>
                <w:szCs w:val="20"/>
                <w:lang w:eastAsia="en-GB"/>
              </w:rPr>
            </w:pPr>
            <w:bookmarkStart w:id="12" w:name="_Hlk71724153"/>
            <w:r w:rsidRPr="0077663E">
              <w:rPr>
                <w:rFonts w:ascii="Arial" w:eastAsia="Calibri" w:hAnsi="Arial" w:cs="Times New Roman"/>
                <w:b/>
                <w:szCs w:val="20"/>
                <w:lang w:eastAsia="en-GB"/>
              </w:rPr>
              <w:t>Deliver a mental health support programme for young people</w:t>
            </w:r>
            <w:bookmarkEnd w:id="12"/>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14:paraId="1AD4B4AF" w14:textId="77777777" w:rsidR="00AE1F7D" w:rsidRPr="004877E7" w:rsidRDefault="00907B19" w:rsidP="00AE1F7D">
            <w:pPr>
              <w:spacing w:after="0" w:line="240" w:lineRule="auto"/>
              <w:jc w:val="center"/>
              <w:rPr>
                <w:rFonts w:ascii="Arial" w:eastAsia="Calibri" w:hAnsi="Arial" w:cs="Times New Roman"/>
                <w:b/>
                <w:bCs/>
                <w:color w:val="FFFFFF" w:themeColor="background1"/>
                <w:szCs w:val="20"/>
                <w:lang w:eastAsia="en-GB"/>
              </w:rPr>
            </w:pPr>
            <w:r w:rsidRPr="004877E7">
              <w:rPr>
                <w:rFonts w:ascii="Arial" w:eastAsia="Times New Roman" w:hAnsi="Arial" w:cs="Arial"/>
                <w:b/>
                <w:bCs/>
                <w:noProof/>
                <w:color w:val="FFFFFF" w:themeColor="background1"/>
                <w:szCs w:val="20"/>
                <w:lang w:eastAsia="en-GB"/>
              </w:rPr>
              <w:t>GREEN</w:t>
            </w:r>
          </w:p>
        </w:tc>
      </w:tr>
      <w:tr w:rsidR="00066063" w14:paraId="1AD4B4B3" w14:textId="77777777" w:rsidTr="00AE1F7D">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1AD4B4B1" w14:textId="77777777" w:rsidR="00AE1F7D" w:rsidRPr="0077663E" w:rsidRDefault="00907B19" w:rsidP="00AE1F7D">
            <w:pPr>
              <w:spacing w:after="0" w:line="240" w:lineRule="auto"/>
              <w:rPr>
                <w:rFonts w:ascii="Arial" w:eastAsia="Times New Roman" w:hAnsi="Arial" w:cs="Arial"/>
                <w:szCs w:val="20"/>
                <w:lang w:eastAsia="en-GB"/>
              </w:rPr>
            </w:pPr>
            <w:r w:rsidRPr="0077663E">
              <w:rPr>
                <w:rFonts w:ascii="Arial" w:eastAsia="Times New Roman" w:hAnsi="Arial" w:cs="Times New Roman"/>
                <w:b/>
                <w:bCs/>
                <w:szCs w:val="20"/>
                <w:lang w:eastAsia="en-GB"/>
              </w:rPr>
              <w:t>Establish a Youth Council</w:t>
            </w:r>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14:paraId="1AD4B4B2" w14:textId="77777777" w:rsidR="00AE1F7D" w:rsidRPr="004877E7" w:rsidRDefault="00907B19" w:rsidP="00AE1F7D">
            <w:pPr>
              <w:spacing w:after="0" w:line="240" w:lineRule="auto"/>
              <w:jc w:val="center"/>
              <w:rPr>
                <w:rFonts w:ascii="Arial" w:eastAsia="Times New Roman" w:hAnsi="Arial" w:cs="Arial"/>
                <w:b/>
                <w:bCs/>
                <w:noProof/>
                <w:color w:val="FFFFFF" w:themeColor="background1"/>
                <w:szCs w:val="20"/>
                <w:lang w:eastAsia="en-GB"/>
              </w:rPr>
            </w:pPr>
            <w:r w:rsidRPr="004877E7">
              <w:rPr>
                <w:rFonts w:ascii="Arial" w:eastAsia="Times New Roman" w:hAnsi="Arial" w:cs="Arial"/>
                <w:b/>
                <w:bCs/>
                <w:noProof/>
                <w:color w:val="FFFFFF" w:themeColor="background1"/>
                <w:szCs w:val="20"/>
                <w:lang w:eastAsia="en-GB"/>
              </w:rPr>
              <w:t>GREEN</w:t>
            </w:r>
          </w:p>
        </w:tc>
      </w:tr>
    </w:tbl>
    <w:bookmarkEnd w:id="11"/>
    <w:p w14:paraId="1AD4B4B4" w14:textId="77777777" w:rsidR="00AE1F7D" w:rsidRPr="00460D79" w:rsidRDefault="00907B19" w:rsidP="00AE1F7D">
      <w:pPr>
        <w:pStyle w:val="Heading2"/>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p>
    <w:p w14:paraId="1AD4B4B5" w14:textId="77777777" w:rsidR="00AE1F7D" w:rsidRPr="00EE3D37" w:rsidRDefault="00907B19" w:rsidP="00AE1F7D">
      <w:pPr>
        <w:pStyle w:val="ListParagraph"/>
        <w:numPr>
          <w:ilvl w:val="0"/>
          <w:numId w:val="8"/>
        </w:numPr>
        <w:spacing w:after="0" w:line="240" w:lineRule="auto"/>
        <w:rPr>
          <w:rFonts w:ascii="Arial" w:eastAsia="Calibri" w:hAnsi="Arial" w:cs="Times New Roman"/>
        </w:rPr>
      </w:pPr>
      <w:r w:rsidRPr="00EE3D37">
        <w:rPr>
          <w:rFonts w:ascii="Arial" w:eastAsia="Calibri" w:hAnsi="Arial" w:cs="Times New Roman"/>
        </w:rPr>
        <w:t xml:space="preserve">Of the eight performance measures reported under this outcome, two are due to be reported this quarter. Both measures are to be baselined. </w:t>
      </w:r>
    </w:p>
    <w:p w14:paraId="1AD4B4B6" w14:textId="77777777" w:rsidR="00AE1F7D" w:rsidRPr="002F4C9C" w:rsidRDefault="007474A4" w:rsidP="00AE1F7D">
      <w:pPr>
        <w:spacing w:after="0" w:line="240" w:lineRule="auto"/>
        <w:rPr>
          <w:rFonts w:ascii="Arial" w:eastAsia="Calibri" w:hAnsi="Arial" w:cs="Times New Roman"/>
        </w:rPr>
      </w:pPr>
    </w:p>
    <w:p w14:paraId="1AD4B4B7" w14:textId="77777777" w:rsidR="00AE1F7D" w:rsidRPr="00425E23" w:rsidRDefault="00907B19" w:rsidP="00AE1F7D">
      <w:pPr>
        <w:pStyle w:val="ListParagraph"/>
        <w:numPr>
          <w:ilvl w:val="0"/>
          <w:numId w:val="15"/>
        </w:numPr>
        <w:spacing w:after="0" w:line="240" w:lineRule="auto"/>
        <w:rPr>
          <w:rFonts w:ascii="Arial" w:eastAsia="Calibri" w:hAnsi="Arial" w:cs="Times New Roman"/>
        </w:rPr>
      </w:pPr>
      <w:r w:rsidRPr="00082DA8">
        <w:rPr>
          <w:rFonts w:ascii="Arial" w:eastAsia="Calibri" w:hAnsi="Arial" w:cs="Times New Roman"/>
        </w:rPr>
        <w:t>Number of residents benefiting from opportunities created by the communities</w:t>
      </w:r>
      <w:r>
        <w:rPr>
          <w:rFonts w:ascii="Arial" w:eastAsia="Calibri" w:hAnsi="Arial" w:cs="Times New Roman"/>
        </w:rPr>
        <w:t xml:space="preserve"> </w:t>
      </w:r>
      <w:r w:rsidRPr="00082DA8">
        <w:rPr>
          <w:rFonts w:ascii="Arial" w:eastAsia="Calibri" w:hAnsi="Arial" w:cs="Times New Roman"/>
        </w:rPr>
        <w:t>team</w:t>
      </w:r>
      <w:r>
        <w:rPr>
          <w:rFonts w:ascii="Arial" w:eastAsia="Calibri" w:hAnsi="Arial" w:cs="Times New Roman"/>
        </w:rPr>
        <w:t>,</w:t>
      </w:r>
    </w:p>
    <w:p w14:paraId="1AD4B4B8" w14:textId="77777777" w:rsidR="00AE1F7D" w:rsidRDefault="00907B19" w:rsidP="00AE1F7D">
      <w:pPr>
        <w:pStyle w:val="ListParagraph"/>
        <w:numPr>
          <w:ilvl w:val="0"/>
          <w:numId w:val="15"/>
        </w:numPr>
        <w:spacing w:after="0" w:line="240" w:lineRule="auto"/>
        <w:rPr>
          <w:rFonts w:ascii="Arial" w:eastAsia="Calibri" w:hAnsi="Arial" w:cs="Times New Roman"/>
        </w:rPr>
      </w:pPr>
      <w:r w:rsidRPr="003F121D">
        <w:rPr>
          <w:rFonts w:ascii="Arial" w:eastAsia="Calibri" w:hAnsi="Arial" w:cs="Times New Roman"/>
        </w:rPr>
        <w:t>Number of meals provided to school age children through holiday hunger offer</w:t>
      </w:r>
      <w:r>
        <w:rPr>
          <w:rFonts w:ascii="Arial" w:eastAsia="Calibri" w:hAnsi="Arial" w:cs="Times New Roman"/>
        </w:rPr>
        <w:t>.</w:t>
      </w:r>
    </w:p>
    <w:p w14:paraId="1AD4B4B9" w14:textId="77777777" w:rsidR="00AE1F7D" w:rsidRDefault="007474A4" w:rsidP="00AE1F7D">
      <w:pPr>
        <w:pStyle w:val="ListParagraph"/>
        <w:spacing w:after="0" w:line="240" w:lineRule="auto"/>
        <w:ind w:left="1440"/>
        <w:rPr>
          <w:rFonts w:ascii="Arial" w:eastAsia="Calibri" w:hAnsi="Arial" w:cs="Times New Roman"/>
        </w:rPr>
      </w:pPr>
    </w:p>
    <w:p w14:paraId="1AD4B4BA" w14:textId="77777777" w:rsidR="00AE1F7D" w:rsidRPr="00960892" w:rsidRDefault="00907B19" w:rsidP="00AE1F7D">
      <w:pPr>
        <w:pStyle w:val="ListParagraph"/>
        <w:spacing w:after="0" w:line="240" w:lineRule="auto"/>
        <w:ind w:left="426"/>
        <w:rPr>
          <w:rFonts w:ascii="Arial" w:eastAsia="Calibri" w:hAnsi="Arial" w:cs="Times New Roman"/>
        </w:rPr>
      </w:pPr>
      <w:r w:rsidRPr="00960892">
        <w:rPr>
          <w:rFonts w:ascii="Arial" w:eastAsia="Calibri" w:hAnsi="Arial" w:cs="Times New Roman"/>
        </w:rPr>
        <w:t>A full list of the performance indicators is included in Appendix 1.</w:t>
      </w:r>
    </w:p>
    <w:p w14:paraId="1AD4B4BB" w14:textId="77777777" w:rsidR="00AE1F7D" w:rsidRDefault="007474A4" w:rsidP="00AE1F7D">
      <w:pPr>
        <w:pStyle w:val="ListParagraph"/>
        <w:spacing w:after="0" w:line="240" w:lineRule="auto"/>
        <w:ind w:left="1440"/>
        <w:rPr>
          <w:rFonts w:ascii="Arial" w:eastAsia="Calibri" w:hAnsi="Arial" w:cs="Times New Roman"/>
        </w:rPr>
      </w:pPr>
    </w:p>
    <w:p w14:paraId="1AD4B4BC" w14:textId="77777777" w:rsidR="00AE1F7D" w:rsidRDefault="007474A4" w:rsidP="00AE1F7D">
      <w:pPr>
        <w:pStyle w:val="ListParagraph"/>
        <w:spacing w:after="0" w:line="240" w:lineRule="auto"/>
        <w:ind w:left="1440"/>
        <w:rPr>
          <w:rFonts w:ascii="Arial" w:eastAsia="Calibri" w:hAnsi="Arial" w:cs="Times New Roman"/>
        </w:rPr>
      </w:pPr>
    </w:p>
    <w:p w14:paraId="1AD4B4BD" w14:textId="77777777" w:rsidR="00AE1F7D" w:rsidRDefault="007474A4" w:rsidP="00AE1F7D">
      <w:pPr>
        <w:pStyle w:val="ListParagraph"/>
        <w:spacing w:after="0" w:line="240" w:lineRule="auto"/>
        <w:ind w:left="1440"/>
        <w:rPr>
          <w:rFonts w:ascii="Arial" w:eastAsia="Calibri" w:hAnsi="Arial" w:cs="Times New Roman"/>
        </w:rPr>
        <w:sectPr w:rsidR="00AE1F7D" w:rsidSect="00AE1F7D">
          <w:pgSz w:w="11906" w:h="16838"/>
          <w:pgMar w:top="1440" w:right="1440" w:bottom="1440" w:left="1440" w:header="708" w:footer="708" w:gutter="0"/>
          <w:cols w:space="708"/>
          <w:docGrid w:linePitch="360"/>
        </w:sectPr>
      </w:pPr>
    </w:p>
    <w:tbl>
      <w:tblPr>
        <w:tblpPr w:leftFromText="180" w:rightFromText="180" w:vertAnchor="text" w:horzAnchor="margin" w:tblpXSpec="center" w:tblpY="-1124"/>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5"/>
        <w:gridCol w:w="3047"/>
      </w:tblGrid>
      <w:tr w:rsidR="00066063" w14:paraId="1AD4B4C1" w14:textId="77777777" w:rsidTr="00AE1F7D">
        <w:trPr>
          <w:trHeight w:val="1520"/>
        </w:trPr>
        <w:tc>
          <w:tcPr>
            <w:tcW w:w="9136" w:type="dxa"/>
            <w:gridSpan w:val="3"/>
            <w:tcBorders>
              <w:top w:val="nil"/>
              <w:left w:val="nil"/>
              <w:right w:val="nil"/>
            </w:tcBorders>
            <w:shd w:val="clear" w:color="auto" w:fill="auto"/>
          </w:tcPr>
          <w:p w14:paraId="1AD4B4BE" w14:textId="77777777" w:rsidR="00AE1F7D" w:rsidRPr="003F121D" w:rsidRDefault="00907B19" w:rsidP="00AE1F7D">
            <w:pPr>
              <w:widowControl w:val="0"/>
              <w:spacing w:after="0" w:line="256" w:lineRule="auto"/>
              <w:ind w:firstLine="208"/>
              <w:contextualSpacing/>
              <w:outlineLvl w:val="0"/>
              <w:rPr>
                <w:rFonts w:ascii="Arial" w:eastAsia="Calibri" w:hAnsi="Arial" w:cs="Arial"/>
                <w:b/>
                <w:color w:val="8B3781"/>
              </w:rPr>
            </w:pPr>
            <w:bookmarkStart w:id="13" w:name="_Hlk54078172"/>
            <w:r w:rsidRPr="003F121D">
              <w:rPr>
                <w:rFonts w:ascii="Arial" w:eastAsia="Calibri" w:hAnsi="Arial" w:cs="Times New Roman"/>
                <w:noProof/>
                <w:color w:val="8B3781"/>
              </w:rPr>
              <w:lastRenderedPageBreak/>
              <w:drawing>
                <wp:inline distT="0" distB="0" distL="0" distR="0" wp14:anchorId="1AD4B683" wp14:editId="1AD4B684">
                  <wp:extent cx="1219200" cy="154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0453"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l="13228" t="16986" r="10846" b="-13680"/>
                          <a:stretch>
                            <a:fillRect/>
                          </a:stretch>
                        </pic:blipFill>
                        <pic:spPr bwMode="auto">
                          <a:xfrm>
                            <a:off x="0" y="0"/>
                            <a:ext cx="1219200" cy="1543050"/>
                          </a:xfrm>
                          <a:prstGeom prst="rect">
                            <a:avLst/>
                          </a:prstGeom>
                          <a:noFill/>
                          <a:ln>
                            <a:noFill/>
                          </a:ln>
                        </pic:spPr>
                      </pic:pic>
                    </a:graphicData>
                  </a:graphic>
                </wp:inline>
              </w:drawing>
            </w:r>
            <w:r w:rsidRPr="003F121D">
              <w:rPr>
                <w:rFonts w:ascii="Arial" w:eastAsia="Calibri" w:hAnsi="Arial" w:cs="Times New Roman"/>
                <w:noProof/>
                <w:color w:val="8B3781"/>
              </w:rPr>
              <w:drawing>
                <wp:inline distT="0" distB="0" distL="0" distR="0" wp14:anchorId="1AD4B685" wp14:editId="1AD4B686">
                  <wp:extent cx="30670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174107"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067050" cy="1504950"/>
                          </a:xfrm>
                          <a:prstGeom prst="rect">
                            <a:avLst/>
                          </a:prstGeom>
                          <a:noFill/>
                          <a:ln>
                            <a:noFill/>
                          </a:ln>
                        </pic:spPr>
                      </pic:pic>
                    </a:graphicData>
                  </a:graphic>
                </wp:inline>
              </w:drawing>
            </w:r>
          </w:p>
          <w:p w14:paraId="1AD4B4BF" w14:textId="77777777" w:rsidR="00AE1F7D" w:rsidRPr="003F121D" w:rsidRDefault="007474A4" w:rsidP="00AE1F7D">
            <w:pPr>
              <w:widowControl w:val="0"/>
              <w:spacing w:after="0" w:line="256" w:lineRule="auto"/>
              <w:contextualSpacing/>
              <w:outlineLvl w:val="0"/>
              <w:rPr>
                <w:rFonts w:ascii="Arial" w:eastAsia="Calibri" w:hAnsi="Arial" w:cs="Arial"/>
                <w:b/>
                <w:color w:val="8B3781"/>
              </w:rPr>
            </w:pPr>
          </w:p>
          <w:p w14:paraId="1AD4B4C0" w14:textId="77777777" w:rsidR="00AE1F7D" w:rsidRPr="003F121D" w:rsidRDefault="00907B19" w:rsidP="00AE1F7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A COUNCIL THAT:</w:t>
            </w:r>
          </w:p>
        </w:tc>
      </w:tr>
      <w:tr w:rsidR="00066063" w14:paraId="1AD4B4C5" w14:textId="77777777" w:rsidTr="00AE1F7D">
        <w:trPr>
          <w:trHeight w:val="705"/>
        </w:trPr>
        <w:tc>
          <w:tcPr>
            <w:tcW w:w="3044" w:type="dxa"/>
            <w:tcBorders>
              <w:top w:val="single" w:sz="18" w:space="0" w:color="FFFFFF"/>
              <w:left w:val="single" w:sz="18" w:space="0" w:color="FFFFFF"/>
              <w:bottom w:val="single" w:sz="18" w:space="0" w:color="FFFFFF"/>
              <w:right w:val="single" w:sz="18" w:space="0" w:color="FFFFFF"/>
            </w:tcBorders>
            <w:shd w:val="clear" w:color="auto" w:fill="auto"/>
          </w:tcPr>
          <w:p w14:paraId="1AD4B4C2" w14:textId="77777777" w:rsidR="00AE1F7D" w:rsidRPr="003F121D" w:rsidRDefault="00907B19" w:rsidP="00AE1F7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Increases access to training and jobs</w:t>
            </w:r>
          </w:p>
        </w:tc>
        <w:tc>
          <w:tcPr>
            <w:tcW w:w="3045" w:type="dxa"/>
            <w:tcBorders>
              <w:top w:val="single" w:sz="18" w:space="0" w:color="FFFFFF"/>
              <w:left w:val="single" w:sz="18" w:space="0" w:color="FFFFFF"/>
              <w:bottom w:val="single" w:sz="18" w:space="0" w:color="FFFFFF"/>
              <w:right w:val="single" w:sz="18" w:space="0" w:color="FFFFFF"/>
            </w:tcBorders>
            <w:shd w:val="clear" w:color="auto" w:fill="auto"/>
          </w:tcPr>
          <w:p w14:paraId="1AD4B4C3" w14:textId="77777777" w:rsidR="00AE1F7D" w:rsidRPr="003F121D" w:rsidRDefault="00907B19" w:rsidP="00AE1F7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Grows and supports sustainable businesses</w:t>
            </w:r>
          </w:p>
        </w:tc>
        <w:tc>
          <w:tcPr>
            <w:tcW w:w="3047" w:type="dxa"/>
            <w:tcBorders>
              <w:top w:val="single" w:sz="18" w:space="0" w:color="FFFFFF"/>
              <w:left w:val="single" w:sz="18" w:space="0" w:color="FFFFFF"/>
              <w:bottom w:val="single" w:sz="18" w:space="0" w:color="FFFFFF"/>
              <w:right w:val="single" w:sz="18" w:space="0" w:color="FFFFFF"/>
            </w:tcBorders>
            <w:shd w:val="clear" w:color="auto" w:fill="auto"/>
          </w:tcPr>
          <w:p w14:paraId="1AD4B4C4" w14:textId="77777777" w:rsidR="00AE1F7D" w:rsidRPr="003F121D" w:rsidRDefault="00907B19" w:rsidP="00AE1F7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Invests in improving the borough</w:t>
            </w:r>
          </w:p>
        </w:tc>
      </w:tr>
    </w:tbl>
    <w:bookmarkEnd w:id="13"/>
    <w:p w14:paraId="1AD4B4C6" w14:textId="77777777" w:rsidR="00AE1F7D" w:rsidRPr="00460D79" w:rsidRDefault="00907B19" w:rsidP="00AE1F7D">
      <w:pPr>
        <w:pStyle w:val="Heading2"/>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1AD4B4C7" w14:textId="77777777" w:rsidR="00AE1F7D" w:rsidRDefault="00907B19" w:rsidP="00AE1F7D">
      <w:pPr>
        <w:pStyle w:val="ListParagraph"/>
        <w:numPr>
          <w:ilvl w:val="0"/>
          <w:numId w:val="8"/>
        </w:numPr>
        <w:spacing w:after="0" w:line="240" w:lineRule="auto"/>
        <w:rPr>
          <w:rFonts w:cs="Arial"/>
          <w:iCs/>
        </w:rPr>
      </w:pPr>
      <w:r w:rsidRPr="00EE3D37">
        <w:rPr>
          <w:rFonts w:cs="Arial"/>
          <w:iCs/>
        </w:rPr>
        <w:t>The Community Wealth Building programme has made good progress</w:t>
      </w:r>
      <w:r>
        <w:rPr>
          <w:rFonts w:cs="Arial"/>
          <w:iCs/>
        </w:rPr>
        <w:t xml:space="preserve"> in the quarter with the council formally achieving the Living Wage Accreditation. The accreditation recognises employers that chose to pay staff above the government’s minimum wage. </w:t>
      </w:r>
      <w:r w:rsidRPr="00EE3D37">
        <w:rPr>
          <w:rFonts w:cs="Arial"/>
          <w:iCs/>
        </w:rPr>
        <w:t xml:space="preserve">There has been agreement to implement the Social Value Portal </w:t>
      </w:r>
      <w:r>
        <w:rPr>
          <w:rFonts w:cs="Arial"/>
          <w:iCs/>
        </w:rPr>
        <w:t xml:space="preserve">(SVP) and staff training sessions have been delivered. A draft social value portal policy has been established and shared with stakeholders for input. The social value portal will </w:t>
      </w:r>
      <w:r w:rsidRPr="00EE3D37">
        <w:rPr>
          <w:rFonts w:cs="Arial"/>
          <w:iCs/>
        </w:rPr>
        <w:t>measure</w:t>
      </w:r>
      <w:r>
        <w:rPr>
          <w:rFonts w:cs="Arial"/>
          <w:iCs/>
        </w:rPr>
        <w:t xml:space="preserve"> the</w:t>
      </w:r>
      <w:r w:rsidRPr="00EE3D37">
        <w:rPr>
          <w:rFonts w:cs="Arial"/>
          <w:iCs/>
        </w:rPr>
        <w:t xml:space="preserve"> </w:t>
      </w:r>
      <w:r>
        <w:rPr>
          <w:rFonts w:cs="Arial"/>
          <w:iCs/>
        </w:rPr>
        <w:t>c</w:t>
      </w:r>
      <w:r w:rsidRPr="00EE3D37">
        <w:rPr>
          <w:rFonts w:cs="Arial"/>
          <w:iCs/>
        </w:rPr>
        <w:t>ouncil</w:t>
      </w:r>
      <w:r>
        <w:rPr>
          <w:rFonts w:cs="Arial"/>
          <w:iCs/>
        </w:rPr>
        <w:t>’s</w:t>
      </w:r>
      <w:r w:rsidRPr="00EE3D37">
        <w:rPr>
          <w:rFonts w:cs="Arial"/>
          <w:iCs/>
        </w:rPr>
        <w:t xml:space="preserve"> procurement outcomes and </w:t>
      </w:r>
      <w:r>
        <w:rPr>
          <w:rFonts w:cs="Arial"/>
          <w:iCs/>
        </w:rPr>
        <w:t>the</w:t>
      </w:r>
      <w:r w:rsidRPr="00EE3D37">
        <w:rPr>
          <w:rFonts w:cs="Arial"/>
          <w:iCs/>
        </w:rPr>
        <w:t xml:space="preserve"> benefits </w:t>
      </w:r>
      <w:r>
        <w:rPr>
          <w:rFonts w:cs="Arial"/>
          <w:iCs/>
        </w:rPr>
        <w:t>to</w:t>
      </w:r>
      <w:r w:rsidRPr="00EE3D37">
        <w:rPr>
          <w:rFonts w:cs="Arial"/>
          <w:iCs/>
        </w:rPr>
        <w:t xml:space="preserve"> the community</w:t>
      </w:r>
      <w:r>
        <w:rPr>
          <w:rFonts w:cs="Arial"/>
          <w:iCs/>
        </w:rPr>
        <w:t>.</w:t>
      </w:r>
    </w:p>
    <w:p w14:paraId="1AD4B4C8" w14:textId="77777777" w:rsidR="00AE1F7D" w:rsidRDefault="007474A4" w:rsidP="00AE1F7D">
      <w:pPr>
        <w:pStyle w:val="ListParagraph"/>
        <w:spacing w:after="0" w:line="240" w:lineRule="auto"/>
        <w:ind w:left="360"/>
        <w:rPr>
          <w:rFonts w:cs="Arial"/>
          <w:iCs/>
        </w:rPr>
      </w:pPr>
    </w:p>
    <w:p w14:paraId="1AD4B4C9" w14:textId="77777777" w:rsidR="00AE1F7D" w:rsidRPr="00FE1888" w:rsidRDefault="00907B19" w:rsidP="00AE1F7D">
      <w:pPr>
        <w:pStyle w:val="ListParagraph"/>
        <w:numPr>
          <w:ilvl w:val="0"/>
          <w:numId w:val="8"/>
        </w:numPr>
        <w:spacing w:after="0" w:line="240" w:lineRule="auto"/>
        <w:rPr>
          <w:rFonts w:cs="Arial"/>
          <w:iCs/>
        </w:rPr>
      </w:pPr>
      <w:r>
        <w:rPr>
          <w:rFonts w:cs="Arial"/>
          <w:iCs/>
        </w:rPr>
        <w:t xml:space="preserve">The council </w:t>
      </w:r>
      <w:r w:rsidRPr="00A2231C">
        <w:rPr>
          <w:rFonts w:cs="Arial"/>
          <w:iCs/>
        </w:rPr>
        <w:t>continue</w:t>
      </w:r>
      <w:r>
        <w:rPr>
          <w:rFonts w:cs="Arial"/>
          <w:iCs/>
        </w:rPr>
        <w:t>s</w:t>
      </w:r>
      <w:r w:rsidRPr="00A2231C">
        <w:rPr>
          <w:rFonts w:cs="Arial"/>
          <w:iCs/>
        </w:rPr>
        <w:t xml:space="preserve"> to support local businesses</w:t>
      </w:r>
      <w:r>
        <w:rPr>
          <w:rFonts w:cs="Arial"/>
          <w:iCs/>
        </w:rPr>
        <w:t>,</w:t>
      </w:r>
      <w:r w:rsidRPr="00FE1888">
        <w:rPr>
          <w:rFonts w:cs="Arial"/>
          <w:iCs/>
        </w:rPr>
        <w:t xml:space="preserve"> reduce the potential for business failures, and support economic recovery</w:t>
      </w:r>
      <w:r w:rsidRPr="00A2231C">
        <w:rPr>
          <w:rFonts w:cs="Arial"/>
          <w:iCs/>
        </w:rPr>
        <w:t xml:space="preserve"> through the administration of Covid </w:t>
      </w:r>
      <w:r>
        <w:rPr>
          <w:rFonts w:cs="Arial"/>
          <w:iCs/>
        </w:rPr>
        <w:t xml:space="preserve">government </w:t>
      </w:r>
      <w:r w:rsidRPr="00A2231C">
        <w:rPr>
          <w:rFonts w:cs="Arial"/>
          <w:iCs/>
        </w:rPr>
        <w:t>support grants and wider advice</w:t>
      </w:r>
      <w:r>
        <w:rPr>
          <w:rFonts w:cs="Arial"/>
          <w:iCs/>
        </w:rPr>
        <w:t xml:space="preserve"> or</w:t>
      </w:r>
      <w:r w:rsidRPr="00A2231C">
        <w:rPr>
          <w:rFonts w:cs="Arial"/>
          <w:iCs/>
        </w:rPr>
        <w:t xml:space="preserve"> assistance</w:t>
      </w:r>
      <w:r>
        <w:rPr>
          <w:rFonts w:cs="Arial"/>
          <w:iCs/>
        </w:rPr>
        <w:t xml:space="preserve">. </w:t>
      </w:r>
      <w:bookmarkStart w:id="14" w:name="_Hlk85466052"/>
      <w:r>
        <w:rPr>
          <w:rFonts w:cs="Arial"/>
          <w:iCs/>
        </w:rPr>
        <w:t xml:space="preserve">Proposals for the grant scheme have been presented to the Covid Business Support Member working group and have been approved. The Council has received further funding from Central Government, a total of £706k because of meeting key targets over the past months as part of the grants programme provided throughout the Covid pandemic. This Additional Restrictions Grant (ARG3)  tranche of government funding will be amalgamated with a further £150k as part of the corporate strategy project to support businesses.  The support that will be provided includes mental health support, recruitment, bringing empty properties back in to use, sector skills (e.g. hospitality and care), start-up grants and summer grants for market traders.  </w:t>
      </w:r>
      <w:r>
        <w:t>Approval for grant criteria and authority to spend has taken place through an Executive Member Decision</w:t>
      </w:r>
      <w:r>
        <w:rPr>
          <w:rFonts w:cs="Arial"/>
          <w:iCs/>
        </w:rPr>
        <w:t>.</w:t>
      </w:r>
      <w:bookmarkEnd w:id="14"/>
    </w:p>
    <w:p w14:paraId="1AD4B4CA" w14:textId="77777777" w:rsidR="00AE1F7D" w:rsidRPr="001E0A6F" w:rsidRDefault="007474A4" w:rsidP="00AE1F7D">
      <w:pPr>
        <w:pStyle w:val="ListParagraph"/>
        <w:spacing w:after="0" w:line="240" w:lineRule="auto"/>
        <w:ind w:left="360"/>
        <w:rPr>
          <w:rFonts w:cs="Arial"/>
          <w:iCs/>
        </w:rPr>
      </w:pPr>
    </w:p>
    <w:p w14:paraId="1AD4B4CB" w14:textId="77777777" w:rsidR="00AE1F7D" w:rsidRDefault="00907B19" w:rsidP="00AE1F7D">
      <w:pPr>
        <w:pStyle w:val="ListParagraph"/>
        <w:numPr>
          <w:ilvl w:val="0"/>
          <w:numId w:val="8"/>
        </w:numPr>
        <w:spacing w:after="0" w:line="240" w:lineRule="auto"/>
        <w:rPr>
          <w:rFonts w:cs="Arial"/>
          <w:iCs/>
        </w:rPr>
      </w:pPr>
      <w:r w:rsidRPr="001E0A6F">
        <w:rPr>
          <w:rFonts w:cs="Arial"/>
          <w:iCs/>
        </w:rPr>
        <w:t xml:space="preserve"> The Leyland</w:t>
      </w:r>
      <w:r>
        <w:rPr>
          <w:rFonts w:cs="Arial"/>
          <w:iCs/>
        </w:rPr>
        <w:t xml:space="preserve"> </w:t>
      </w:r>
      <w:r w:rsidRPr="001E0A6F">
        <w:rPr>
          <w:rFonts w:cs="Arial"/>
          <w:iCs/>
        </w:rPr>
        <w:t xml:space="preserve">Town Deal has progressed with the commencement of the business case development for all three project areas in Leyland, which are town centre transformation, the market improvements and the development of </w:t>
      </w:r>
      <w:r>
        <w:rPr>
          <w:rFonts w:cs="Arial"/>
          <w:iCs/>
        </w:rPr>
        <w:t>‘</w:t>
      </w:r>
      <w:r w:rsidRPr="001E0A6F">
        <w:rPr>
          <w:rFonts w:cs="Arial"/>
          <w:iCs/>
        </w:rPr>
        <w:t xml:space="preserve">Base 2 </w:t>
      </w:r>
      <w:r>
        <w:rPr>
          <w:rFonts w:cs="Arial"/>
          <w:iCs/>
        </w:rPr>
        <w:t>B</w:t>
      </w:r>
      <w:r w:rsidRPr="001E0A6F">
        <w:rPr>
          <w:rFonts w:cs="Arial"/>
          <w:iCs/>
        </w:rPr>
        <w:t>usiness</w:t>
      </w:r>
      <w:r>
        <w:rPr>
          <w:rFonts w:cs="Arial"/>
          <w:iCs/>
        </w:rPr>
        <w:t>’</w:t>
      </w:r>
      <w:r w:rsidRPr="001E0A6F">
        <w:rPr>
          <w:rFonts w:cs="Arial"/>
          <w:iCs/>
        </w:rPr>
        <w:t xml:space="preserve"> hub. Professional </w:t>
      </w:r>
      <w:r>
        <w:rPr>
          <w:rFonts w:cs="Arial"/>
          <w:iCs/>
        </w:rPr>
        <w:t>c</w:t>
      </w:r>
      <w:r w:rsidRPr="001E0A6F">
        <w:rPr>
          <w:rFonts w:cs="Arial"/>
          <w:iCs/>
        </w:rPr>
        <w:t xml:space="preserve">onsultants have been appointed to form the design team which will support the development of the business cases. Stakeholder engagement and consultations events are to take place next quarter to develop the project brief.  The submission of the business cases to the funding body is programmed for submission in March 2022. </w:t>
      </w:r>
    </w:p>
    <w:p w14:paraId="1AD4B4CC" w14:textId="77777777" w:rsidR="00AE1F7D" w:rsidRPr="009D1263" w:rsidRDefault="007474A4" w:rsidP="00AE1F7D">
      <w:pPr>
        <w:pStyle w:val="ListParagraph"/>
        <w:rPr>
          <w:rFonts w:cs="Arial"/>
          <w:iCs/>
        </w:rPr>
      </w:pPr>
    </w:p>
    <w:p w14:paraId="1AD4B4CD" w14:textId="77777777" w:rsidR="00AE1F7D" w:rsidRPr="00EE3D37" w:rsidRDefault="00907B19" w:rsidP="00AE1F7D">
      <w:pPr>
        <w:pStyle w:val="ListParagraph"/>
        <w:numPr>
          <w:ilvl w:val="0"/>
          <w:numId w:val="8"/>
        </w:numPr>
        <w:rPr>
          <w:rFonts w:cs="Arial"/>
          <w:iCs/>
        </w:rPr>
      </w:pPr>
      <w:r w:rsidRPr="00EE3D37">
        <w:rPr>
          <w:rFonts w:cs="Arial"/>
          <w:iCs/>
        </w:rPr>
        <w:t xml:space="preserve">Of the three projects within this priority, </w:t>
      </w:r>
      <w:r>
        <w:rPr>
          <w:rFonts w:cs="Arial"/>
          <w:iCs/>
        </w:rPr>
        <w:t>all three are</w:t>
      </w:r>
      <w:r w:rsidRPr="00EE3D37">
        <w:rPr>
          <w:rFonts w:cs="Arial"/>
          <w:iCs/>
        </w:rPr>
        <w:t xml:space="preserve"> rated green.</w:t>
      </w:r>
    </w:p>
    <w:tbl>
      <w:tblPr>
        <w:tblpPr w:leftFromText="180" w:rightFromText="180" w:vertAnchor="text" w:horzAnchor="margin" w:tblpY="169"/>
        <w:tblOverlap w:val="never"/>
        <w:tblW w:w="9909" w:type="dxa"/>
        <w:tblLook w:val="04A0" w:firstRow="1" w:lastRow="0" w:firstColumn="1" w:lastColumn="0" w:noHBand="0" w:noVBand="1"/>
      </w:tblPr>
      <w:tblGrid>
        <w:gridCol w:w="8217"/>
        <w:gridCol w:w="1692"/>
      </w:tblGrid>
      <w:tr w:rsidR="00066063" w14:paraId="1AD4B4D0" w14:textId="77777777" w:rsidTr="00AE1F7D">
        <w:trPr>
          <w:trHeight w:val="334"/>
        </w:trPr>
        <w:tc>
          <w:tcPr>
            <w:tcW w:w="8217" w:type="dxa"/>
            <w:tcBorders>
              <w:top w:val="single" w:sz="4" w:space="0" w:color="auto"/>
              <w:left w:val="single" w:sz="4" w:space="0" w:color="auto"/>
              <w:right w:val="single" w:sz="4" w:space="0" w:color="auto"/>
            </w:tcBorders>
            <w:shd w:val="clear" w:color="auto" w:fill="BFBFBF"/>
            <w:vAlign w:val="center"/>
          </w:tcPr>
          <w:p w14:paraId="1AD4B4CE" w14:textId="77777777" w:rsidR="00AE1F7D" w:rsidRPr="003F121D" w:rsidRDefault="007474A4" w:rsidP="00AE1F7D">
            <w:pPr>
              <w:spacing w:after="0" w:line="240" w:lineRule="auto"/>
              <w:rPr>
                <w:rFonts w:ascii="Arial" w:eastAsia="Times New Roman" w:hAnsi="Arial" w:cs="Arial"/>
                <w:b/>
                <w:szCs w:val="20"/>
                <w:lang w:eastAsia="en-GB"/>
              </w:rPr>
            </w:pPr>
          </w:p>
        </w:tc>
        <w:tc>
          <w:tcPr>
            <w:tcW w:w="1692" w:type="dxa"/>
            <w:tcBorders>
              <w:top w:val="single" w:sz="4" w:space="0" w:color="auto"/>
              <w:left w:val="single" w:sz="4" w:space="0" w:color="auto"/>
              <w:right w:val="single" w:sz="4" w:space="0" w:color="auto"/>
            </w:tcBorders>
            <w:shd w:val="clear" w:color="auto" w:fill="BFBFBF"/>
            <w:vAlign w:val="center"/>
          </w:tcPr>
          <w:p w14:paraId="1AD4B4CF" w14:textId="77777777" w:rsidR="00AE1F7D" w:rsidRPr="003F121D" w:rsidRDefault="00907B19"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R="00066063" w14:paraId="1AD4B4D4" w14:textId="77777777" w:rsidTr="00AE1F7D">
        <w:trPr>
          <w:trHeight w:val="497"/>
        </w:trPr>
        <w:tc>
          <w:tcPr>
            <w:tcW w:w="8217" w:type="dxa"/>
            <w:tcBorders>
              <w:left w:val="single" w:sz="4" w:space="0" w:color="auto"/>
              <w:bottom w:val="single" w:sz="4" w:space="0" w:color="auto"/>
              <w:right w:val="single" w:sz="4" w:space="0" w:color="auto"/>
            </w:tcBorders>
            <w:shd w:val="clear" w:color="auto" w:fill="BFBFBF"/>
            <w:vAlign w:val="center"/>
          </w:tcPr>
          <w:p w14:paraId="1AD4B4D1" w14:textId="77777777" w:rsidR="00AE1F7D" w:rsidRPr="003F121D" w:rsidRDefault="00907B19" w:rsidP="00AE1F7D">
            <w:pPr>
              <w:spacing w:after="0" w:line="240" w:lineRule="auto"/>
              <w:rPr>
                <w:rFonts w:ascii="Arial" w:eastAsia="Times New Roman" w:hAnsi="Arial" w:cs="Arial"/>
                <w:b/>
                <w:szCs w:val="20"/>
                <w:lang w:eastAsia="en-GB"/>
              </w:rPr>
            </w:pPr>
            <w:r w:rsidRPr="003F121D">
              <w:rPr>
                <w:rFonts w:ascii="Arial" w:eastAsia="Times New Roman" w:hAnsi="Arial" w:cs="Arial"/>
                <w:b/>
                <w:szCs w:val="20"/>
                <w:lang w:eastAsia="en-GB"/>
              </w:rPr>
              <w:t>Projects</w:t>
            </w:r>
          </w:p>
        </w:tc>
        <w:tc>
          <w:tcPr>
            <w:tcW w:w="1692" w:type="dxa"/>
            <w:tcBorders>
              <w:left w:val="single" w:sz="4" w:space="0" w:color="auto"/>
              <w:bottom w:val="single" w:sz="4" w:space="0" w:color="auto"/>
              <w:right w:val="single" w:sz="4" w:space="0" w:color="auto"/>
            </w:tcBorders>
            <w:shd w:val="clear" w:color="auto" w:fill="BFBFBF"/>
            <w:vAlign w:val="center"/>
          </w:tcPr>
          <w:p w14:paraId="1AD4B4D2" w14:textId="77777777" w:rsidR="00AE1F7D" w:rsidRPr="0077663E" w:rsidRDefault="00907B19"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2</w:t>
            </w:r>
          </w:p>
          <w:p w14:paraId="1AD4B4D3" w14:textId="77777777" w:rsidR="00AE1F7D" w:rsidRPr="003F121D" w:rsidRDefault="00907B19"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July</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Sept</w:t>
            </w:r>
            <w:r w:rsidRPr="0077663E">
              <w:rPr>
                <w:rFonts w:ascii="Arial" w:eastAsia="Times New Roman" w:hAnsi="Arial" w:cs="Arial"/>
                <w:b/>
                <w:szCs w:val="20"/>
                <w:lang w:eastAsia="en-GB"/>
              </w:rPr>
              <w:t>)</w:t>
            </w:r>
          </w:p>
        </w:tc>
      </w:tr>
      <w:tr w:rsidR="00066063" w14:paraId="1AD4B4D7" w14:textId="77777777" w:rsidTr="00AE1F7D">
        <w:trPr>
          <w:trHeight w:val="497"/>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AD4B4D5" w14:textId="77777777" w:rsidR="00AE1F7D" w:rsidRPr="003F121D" w:rsidRDefault="00907B19" w:rsidP="00AE1F7D">
            <w:pPr>
              <w:spacing w:after="0" w:line="240" w:lineRule="auto"/>
              <w:rPr>
                <w:rFonts w:ascii="Arial" w:eastAsia="Times New Roman" w:hAnsi="Arial" w:cs="Arial"/>
                <w:szCs w:val="20"/>
                <w:lang w:eastAsia="en-GB"/>
              </w:rPr>
            </w:pPr>
            <w:bookmarkStart w:id="15" w:name="_Hlk70519343"/>
            <w:r w:rsidRPr="003F121D">
              <w:rPr>
                <w:rFonts w:ascii="Arial" w:eastAsia="Times New Roman" w:hAnsi="Arial" w:cs="Times New Roman"/>
                <w:b/>
                <w:bCs/>
                <w:szCs w:val="20"/>
                <w:lang w:eastAsia="en-GB"/>
              </w:rPr>
              <w:t>Implement the community wealth building action plan</w:t>
            </w:r>
            <w:bookmarkEnd w:id="15"/>
          </w:p>
        </w:tc>
        <w:tc>
          <w:tcPr>
            <w:tcW w:w="1692" w:type="dxa"/>
            <w:tcBorders>
              <w:top w:val="single" w:sz="4" w:space="0" w:color="auto"/>
              <w:left w:val="single" w:sz="4" w:space="0" w:color="auto"/>
              <w:bottom w:val="single" w:sz="4" w:space="0" w:color="auto"/>
              <w:right w:val="single" w:sz="4" w:space="0" w:color="auto"/>
            </w:tcBorders>
            <w:shd w:val="clear" w:color="auto" w:fill="92D050"/>
            <w:vAlign w:val="center"/>
          </w:tcPr>
          <w:p w14:paraId="1AD4B4D6" w14:textId="77777777" w:rsidR="00AE1F7D" w:rsidRPr="00860FD9" w:rsidRDefault="00907B19" w:rsidP="00AE1F7D">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R="00066063" w14:paraId="1AD4B4DA" w14:textId="77777777" w:rsidTr="00AE1F7D">
        <w:trPr>
          <w:trHeight w:val="497"/>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AD4B4D8" w14:textId="77777777" w:rsidR="00AE1F7D" w:rsidRPr="003F121D" w:rsidRDefault="00907B19" w:rsidP="00AE1F7D">
            <w:pPr>
              <w:widowControl w:val="0"/>
              <w:spacing w:after="0" w:line="240" w:lineRule="auto"/>
              <w:rPr>
                <w:rFonts w:ascii="Arial" w:eastAsia="Times New Roman" w:hAnsi="Arial" w:cs="Times New Roman"/>
                <w:b/>
                <w:bCs/>
                <w:szCs w:val="20"/>
                <w:lang w:eastAsia="en-GB"/>
              </w:rPr>
            </w:pPr>
            <w:r w:rsidRPr="003F121D">
              <w:rPr>
                <w:rFonts w:ascii="Arial" w:eastAsia="Times New Roman" w:hAnsi="Arial" w:cs="Times New Roman"/>
                <w:b/>
                <w:bCs/>
                <w:szCs w:val="20"/>
                <w:lang w:eastAsia="en-GB"/>
              </w:rPr>
              <w:t>Establish a business support programme</w:t>
            </w:r>
          </w:p>
        </w:tc>
        <w:tc>
          <w:tcPr>
            <w:tcW w:w="1692" w:type="dxa"/>
            <w:tcBorders>
              <w:top w:val="single" w:sz="4" w:space="0" w:color="auto"/>
              <w:left w:val="single" w:sz="4" w:space="0" w:color="auto"/>
              <w:bottom w:val="single" w:sz="4" w:space="0" w:color="auto"/>
              <w:right w:val="single" w:sz="4" w:space="0" w:color="auto"/>
            </w:tcBorders>
            <w:shd w:val="clear" w:color="auto" w:fill="92D050"/>
            <w:vAlign w:val="center"/>
          </w:tcPr>
          <w:p w14:paraId="1AD4B4D9" w14:textId="77777777" w:rsidR="00AE1F7D" w:rsidRPr="009F1664" w:rsidRDefault="00907B19" w:rsidP="00AE1F7D">
            <w:pPr>
              <w:spacing w:after="0" w:line="240" w:lineRule="auto"/>
              <w:jc w:val="center"/>
              <w:rPr>
                <w:rFonts w:ascii="Arial" w:eastAsia="Times New Roman" w:hAnsi="Arial" w:cs="Arial"/>
                <w:b/>
                <w:bCs/>
                <w:noProof/>
                <w:color w:val="FFFFFF" w:themeColor="background1"/>
                <w:szCs w:val="20"/>
                <w:lang w:eastAsia="en-GB"/>
              </w:rPr>
            </w:pPr>
            <w:r w:rsidRPr="009F1664">
              <w:rPr>
                <w:rFonts w:ascii="Arial" w:eastAsia="Times New Roman" w:hAnsi="Arial" w:cs="Arial"/>
                <w:b/>
                <w:bCs/>
                <w:noProof/>
                <w:color w:val="FFFFFF" w:themeColor="background1"/>
                <w:szCs w:val="20"/>
                <w:lang w:eastAsia="en-GB"/>
              </w:rPr>
              <w:t xml:space="preserve">GREEN </w:t>
            </w:r>
          </w:p>
        </w:tc>
      </w:tr>
      <w:tr w:rsidR="00066063" w14:paraId="1AD4B4DD" w14:textId="77777777" w:rsidTr="00AE1F7D">
        <w:trPr>
          <w:trHeight w:val="497"/>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AD4B4DB" w14:textId="77777777" w:rsidR="00AE1F7D" w:rsidRPr="003F121D" w:rsidRDefault="00907B19" w:rsidP="00AE1F7D">
            <w:pPr>
              <w:widowControl w:val="0"/>
              <w:spacing w:after="0" w:line="240" w:lineRule="auto"/>
              <w:rPr>
                <w:rFonts w:ascii="Arial" w:eastAsia="Times New Roman" w:hAnsi="Arial" w:cs="Times New Roman"/>
                <w:b/>
                <w:bCs/>
                <w:szCs w:val="20"/>
                <w:lang w:eastAsia="en-GB"/>
              </w:rPr>
            </w:pPr>
            <w:r w:rsidRPr="003F121D">
              <w:rPr>
                <w:rFonts w:ascii="Arial" w:eastAsia="Times New Roman" w:hAnsi="Arial" w:cs="Times New Roman"/>
                <w:b/>
                <w:bCs/>
                <w:szCs w:val="20"/>
                <w:lang w:eastAsia="en-GB"/>
              </w:rPr>
              <w:t>Deliver year 1 of the Town Deal</w:t>
            </w:r>
          </w:p>
        </w:tc>
        <w:tc>
          <w:tcPr>
            <w:tcW w:w="1692" w:type="dxa"/>
            <w:tcBorders>
              <w:top w:val="single" w:sz="4" w:space="0" w:color="auto"/>
              <w:left w:val="single" w:sz="4" w:space="0" w:color="auto"/>
              <w:bottom w:val="single" w:sz="4" w:space="0" w:color="auto"/>
              <w:right w:val="single" w:sz="4" w:space="0" w:color="auto"/>
            </w:tcBorders>
            <w:shd w:val="clear" w:color="auto" w:fill="92D050"/>
            <w:vAlign w:val="center"/>
          </w:tcPr>
          <w:p w14:paraId="1AD4B4DC" w14:textId="77777777" w:rsidR="00AE1F7D" w:rsidRPr="00860FD9" w:rsidRDefault="00907B19" w:rsidP="00AE1F7D">
            <w:pPr>
              <w:spacing w:after="0" w:line="240" w:lineRule="auto"/>
              <w:jc w:val="center"/>
              <w:rPr>
                <w:rFonts w:ascii="Arial" w:eastAsia="Times New Roman" w:hAnsi="Arial" w:cs="Arial"/>
                <w:b/>
                <w:bCs/>
                <w:noProof/>
                <w:color w:val="FFFFFF" w:themeColor="background1"/>
                <w:szCs w:val="20"/>
                <w:lang w:eastAsia="en-GB"/>
              </w:rPr>
            </w:pPr>
            <w:r w:rsidRPr="00860FD9">
              <w:rPr>
                <w:rFonts w:ascii="Arial" w:eastAsia="Times New Roman" w:hAnsi="Arial" w:cs="Arial"/>
                <w:b/>
                <w:bCs/>
                <w:noProof/>
                <w:color w:val="FFFFFF" w:themeColor="background1"/>
                <w:szCs w:val="20"/>
                <w:lang w:eastAsia="en-GB"/>
              </w:rPr>
              <w:t>GREEN</w:t>
            </w:r>
          </w:p>
        </w:tc>
      </w:tr>
    </w:tbl>
    <w:p w14:paraId="1AD4B4DE" w14:textId="77777777" w:rsidR="00AE1F7D" w:rsidRPr="00460D79" w:rsidRDefault="00907B19" w:rsidP="00AE1F7D">
      <w:pPr>
        <w:pStyle w:val="Heading2"/>
        <w:rPr>
          <w:rFonts w:asciiTheme="majorHAnsi" w:hAnsiTheme="majorHAnsi" w:cstheme="majorHAnsi"/>
          <w:sz w:val="22"/>
          <w:szCs w:val="22"/>
        </w:rPr>
      </w:pPr>
      <w:r>
        <w:rPr>
          <w:rFonts w:asciiTheme="majorHAnsi" w:hAnsiTheme="majorHAnsi" w:cstheme="majorHAnsi"/>
          <w:sz w:val="22"/>
          <w:szCs w:val="22"/>
        </w:rPr>
        <w:lastRenderedPageBreak/>
        <w:t>K</w:t>
      </w:r>
      <w:r w:rsidRPr="00460D79">
        <w:rPr>
          <w:rFonts w:asciiTheme="majorHAnsi" w:hAnsiTheme="majorHAnsi" w:cstheme="majorHAnsi"/>
          <w:sz w:val="22"/>
          <w:szCs w:val="22"/>
        </w:rPr>
        <w:t>ey Performance Indicators</w:t>
      </w:r>
    </w:p>
    <w:p w14:paraId="1AD4B4DF" w14:textId="77777777" w:rsidR="00AE1F7D" w:rsidRPr="00826EB3" w:rsidRDefault="00907B19" w:rsidP="00AE1F7D">
      <w:pPr>
        <w:pStyle w:val="ListParagraph"/>
        <w:numPr>
          <w:ilvl w:val="0"/>
          <w:numId w:val="8"/>
        </w:numPr>
        <w:spacing w:after="0" w:line="240" w:lineRule="auto"/>
        <w:rPr>
          <w:rFonts w:ascii="Arial" w:eastAsia="Calibri" w:hAnsi="Arial" w:cs="Times New Roman"/>
        </w:rPr>
      </w:pPr>
      <w:r w:rsidRPr="00826EB3">
        <w:rPr>
          <w:rFonts w:ascii="Arial" w:eastAsia="Calibri" w:hAnsi="Arial" w:cs="Times New Roman"/>
        </w:rPr>
        <w:t xml:space="preserve">Of the four performance measures reported under this priority, </w:t>
      </w:r>
      <w:r>
        <w:rPr>
          <w:rFonts w:ascii="Arial" w:eastAsia="Calibri" w:hAnsi="Arial" w:cs="Times New Roman"/>
        </w:rPr>
        <w:t>one</w:t>
      </w:r>
      <w:r w:rsidRPr="00826EB3">
        <w:rPr>
          <w:rFonts w:ascii="Arial" w:eastAsia="Calibri" w:hAnsi="Arial" w:cs="Times New Roman"/>
        </w:rPr>
        <w:t xml:space="preserve"> measure </w:t>
      </w:r>
      <w:r>
        <w:rPr>
          <w:rFonts w:ascii="Arial" w:eastAsia="Calibri" w:hAnsi="Arial" w:cs="Times New Roman"/>
        </w:rPr>
        <w:t>is</w:t>
      </w:r>
      <w:r w:rsidRPr="00826EB3">
        <w:rPr>
          <w:rFonts w:ascii="Arial" w:eastAsia="Calibri" w:hAnsi="Arial" w:cs="Times New Roman"/>
        </w:rPr>
        <w:t xml:space="preserve"> due to be reported this quarter and is rated </w:t>
      </w:r>
      <w:r w:rsidRPr="00381FB9">
        <w:rPr>
          <w:rFonts w:ascii="Arial" w:eastAsia="Calibri" w:hAnsi="Arial" w:cs="Times New Roman"/>
        </w:rPr>
        <w:t>green</w:t>
      </w:r>
      <w:r w:rsidRPr="00826EB3">
        <w:rPr>
          <w:rFonts w:ascii="Arial" w:eastAsia="Calibri" w:hAnsi="Arial" w:cs="Times New Roman"/>
        </w:rPr>
        <w:t>:</w:t>
      </w:r>
    </w:p>
    <w:p w14:paraId="1AD4B4E0" w14:textId="77777777" w:rsidR="00AE1F7D" w:rsidRPr="00826EB3" w:rsidRDefault="007474A4" w:rsidP="00AE1F7D">
      <w:pPr>
        <w:spacing w:after="0" w:line="240" w:lineRule="auto"/>
        <w:ind w:left="720"/>
        <w:contextualSpacing/>
        <w:rPr>
          <w:rFonts w:ascii="Arial" w:eastAsia="Calibri" w:hAnsi="Arial" w:cs="Times New Roman"/>
        </w:rPr>
      </w:pPr>
    </w:p>
    <w:p w14:paraId="1AD4B4E1" w14:textId="77777777" w:rsidR="00AE1F7D" w:rsidRPr="00E04AAA" w:rsidRDefault="00907B19" w:rsidP="00AE1F7D">
      <w:pPr>
        <w:numPr>
          <w:ilvl w:val="0"/>
          <w:numId w:val="15"/>
        </w:numPr>
        <w:spacing w:after="0" w:line="240" w:lineRule="auto"/>
        <w:contextualSpacing/>
        <w:rPr>
          <w:rFonts w:ascii="Arial" w:eastAsia="Calibri" w:hAnsi="Arial" w:cs="Times New Roman"/>
        </w:rPr>
      </w:pPr>
      <w:r w:rsidRPr="00E04AAA">
        <w:rPr>
          <w:rFonts w:eastAsia="Calibri" w:cs="Times New Roman"/>
        </w:rPr>
        <w:t>Overall employment rate greater than north west average</w:t>
      </w:r>
      <w:r>
        <w:rPr>
          <w:rFonts w:eastAsia="Calibri" w:cs="Times New Roman"/>
        </w:rPr>
        <w:t>.</w:t>
      </w:r>
    </w:p>
    <w:p w14:paraId="1AD4B4E2" w14:textId="77777777" w:rsidR="00AE1F7D" w:rsidRDefault="007474A4" w:rsidP="00AE1F7D">
      <w:pPr>
        <w:spacing w:after="0" w:line="240" w:lineRule="auto"/>
        <w:contextualSpacing/>
        <w:rPr>
          <w:rFonts w:ascii="Arial" w:eastAsia="Calibri" w:hAnsi="Arial" w:cs="Arial"/>
        </w:rPr>
      </w:pPr>
    </w:p>
    <w:p w14:paraId="1AD4B4E3" w14:textId="77777777" w:rsidR="00AE1F7D" w:rsidRDefault="007474A4" w:rsidP="00AE1F7D">
      <w:pPr>
        <w:spacing w:after="0" w:line="240" w:lineRule="auto"/>
        <w:contextualSpacing/>
        <w:rPr>
          <w:rFonts w:ascii="Arial" w:eastAsia="Calibri" w:hAnsi="Arial" w:cs="Arial"/>
        </w:rPr>
        <w:sectPr w:rsidR="00AE1F7D" w:rsidSect="00AE1F7D">
          <w:pgSz w:w="11906" w:h="16838"/>
          <w:pgMar w:top="1440" w:right="1440" w:bottom="1440" w:left="1440" w:header="708" w:footer="708" w:gutter="0"/>
          <w:cols w:space="708"/>
          <w:docGrid w:linePitch="360"/>
        </w:sectPr>
      </w:pPr>
    </w:p>
    <w:p w14:paraId="1AD4B4E4" w14:textId="77777777" w:rsidR="00AE1F7D" w:rsidRDefault="007474A4" w:rsidP="00AE1F7D">
      <w:pPr>
        <w:spacing w:after="0" w:line="240" w:lineRule="auto"/>
        <w:contextualSpacing/>
        <w:rPr>
          <w:rFonts w:ascii="Arial" w:eastAsia="Calibri" w:hAnsi="Arial" w:cs="Arial"/>
        </w:rPr>
      </w:pPr>
    </w:p>
    <w:tbl>
      <w:tblPr>
        <w:tblpPr w:leftFromText="180" w:rightFromText="180" w:vertAnchor="text" w:horzAnchor="margin" w:tblpXSpec="center" w:tblpY="-1094"/>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041"/>
        <w:gridCol w:w="3044"/>
      </w:tblGrid>
      <w:tr w:rsidR="00066063" w14:paraId="1AD4B4E9" w14:textId="77777777" w:rsidTr="00AE1F7D">
        <w:trPr>
          <w:trHeight w:val="1330"/>
        </w:trPr>
        <w:tc>
          <w:tcPr>
            <w:tcW w:w="9125" w:type="dxa"/>
            <w:gridSpan w:val="3"/>
            <w:tcBorders>
              <w:top w:val="nil"/>
              <w:left w:val="nil"/>
              <w:right w:val="nil"/>
            </w:tcBorders>
            <w:shd w:val="clear" w:color="auto" w:fill="auto"/>
          </w:tcPr>
          <w:p w14:paraId="1AD4B4E5" w14:textId="77777777" w:rsidR="00AE1F7D" w:rsidRPr="00D312F8" w:rsidRDefault="00907B19" w:rsidP="00AE1F7D">
            <w:pPr>
              <w:widowControl w:val="0"/>
              <w:spacing w:after="0" w:line="256" w:lineRule="auto"/>
              <w:ind w:firstLine="208"/>
              <w:contextualSpacing/>
              <w:outlineLvl w:val="0"/>
              <w:rPr>
                <w:rFonts w:ascii="Arial" w:eastAsia="Calibri" w:hAnsi="Arial" w:cs="Arial"/>
                <w:b/>
              </w:rPr>
            </w:pPr>
            <w:bookmarkStart w:id="16" w:name="_Hlk54078399"/>
            <w:r w:rsidRPr="00D312F8">
              <w:rPr>
                <w:rFonts w:ascii="Arial" w:eastAsia="Calibri" w:hAnsi="Arial" w:cs="Times New Roman"/>
                <w:noProof/>
              </w:rPr>
              <w:drawing>
                <wp:anchor distT="0" distB="0" distL="114300" distR="114300" simplePos="0" relativeHeight="251659264" behindDoc="0" locked="0" layoutInCell="1" allowOverlap="1" wp14:anchorId="1AD4B687" wp14:editId="1AD4B688">
                  <wp:simplePos x="0" y="0"/>
                  <wp:positionH relativeFrom="column">
                    <wp:posOffset>-68324</wp:posOffset>
                  </wp:positionH>
                  <wp:positionV relativeFrom="paragraph">
                    <wp:posOffset>503</wp:posOffset>
                  </wp:positionV>
                  <wp:extent cx="1499361" cy="118735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18330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l="14021" t="15692" r="6085" b="20744"/>
                          <a:stretch>
                            <a:fillRect/>
                          </a:stretch>
                        </pic:blipFill>
                        <pic:spPr bwMode="auto">
                          <a:xfrm>
                            <a:off x="0" y="0"/>
                            <a:ext cx="1499361" cy="1187355"/>
                          </a:xfrm>
                          <a:prstGeom prst="rect">
                            <a:avLst/>
                          </a:prstGeom>
                          <a:noFill/>
                          <a:ln>
                            <a:noFill/>
                          </a:ln>
                        </pic:spPr>
                      </pic:pic>
                    </a:graphicData>
                  </a:graphic>
                </wp:anchor>
              </w:drawing>
            </w:r>
            <w:r>
              <w:rPr>
                <w:rFonts w:ascii="Arial" w:eastAsia="Calibri" w:hAnsi="Arial" w:cs="Times New Roman"/>
              </w:rPr>
              <w:object w:dxaOrig="4770" w:dyaOrig="1860" w14:anchorId="1AD4B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8pt;height:93pt" o:ole="">
                  <v:imagedata r:id="rId16" o:title=""/>
                </v:shape>
                <o:OLEObject Type="Embed" ProgID="PBrush" ShapeID="_x0000_i1025" DrawAspect="Content" ObjectID="_1697875654" r:id="rId17"/>
              </w:object>
            </w:r>
          </w:p>
          <w:p w14:paraId="1AD4B4E6" w14:textId="77777777" w:rsidR="00AE1F7D" w:rsidRPr="00D312F8" w:rsidRDefault="007474A4" w:rsidP="00AE1F7D">
            <w:pPr>
              <w:widowControl w:val="0"/>
              <w:spacing w:after="0" w:line="256" w:lineRule="auto"/>
              <w:contextualSpacing/>
              <w:outlineLvl w:val="0"/>
              <w:rPr>
                <w:rFonts w:ascii="Arial" w:eastAsia="Calibri" w:hAnsi="Arial" w:cs="Arial"/>
                <w:b/>
                <w:color w:val="8BBD3B"/>
              </w:rPr>
            </w:pPr>
          </w:p>
          <w:p w14:paraId="1AD4B4E7" w14:textId="77777777" w:rsidR="00AE1F7D" w:rsidRPr="00D312F8" w:rsidRDefault="00907B19" w:rsidP="00AE1F7D">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BOROUGH WITH:</w:t>
            </w:r>
          </w:p>
          <w:p w14:paraId="1AD4B4E8" w14:textId="77777777" w:rsidR="00AE1F7D" w:rsidRPr="00D312F8" w:rsidRDefault="007474A4" w:rsidP="00AE1F7D">
            <w:pPr>
              <w:widowControl w:val="0"/>
              <w:spacing w:after="0" w:line="256" w:lineRule="auto"/>
              <w:contextualSpacing/>
              <w:outlineLvl w:val="0"/>
              <w:rPr>
                <w:rFonts w:ascii="Arial" w:eastAsia="Calibri" w:hAnsi="Arial" w:cs="Arial"/>
                <w:b/>
                <w:color w:val="8BBD3B"/>
              </w:rPr>
            </w:pPr>
          </w:p>
        </w:tc>
      </w:tr>
      <w:tr w:rsidR="00066063" w14:paraId="1AD4B4ED" w14:textId="77777777" w:rsidTr="00AE1F7D">
        <w:trPr>
          <w:trHeight w:val="617"/>
        </w:trPr>
        <w:tc>
          <w:tcPr>
            <w:tcW w:w="3040" w:type="dxa"/>
            <w:tcBorders>
              <w:top w:val="single" w:sz="18" w:space="0" w:color="FFFFFF"/>
              <w:left w:val="single" w:sz="18" w:space="0" w:color="FFFFFF"/>
              <w:bottom w:val="single" w:sz="18" w:space="0" w:color="FFFFFF"/>
              <w:right w:val="single" w:sz="18" w:space="0" w:color="FFFFFF"/>
            </w:tcBorders>
            <w:shd w:val="clear" w:color="auto" w:fill="auto"/>
          </w:tcPr>
          <w:p w14:paraId="1AD4B4EA" w14:textId="77777777" w:rsidR="00AE1F7D" w:rsidRPr="00D312F8" w:rsidRDefault="00907B19" w:rsidP="00AE1F7D">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decent, affordable housing</w:t>
            </w:r>
          </w:p>
        </w:tc>
        <w:tc>
          <w:tcPr>
            <w:tcW w:w="3041" w:type="dxa"/>
            <w:tcBorders>
              <w:top w:val="single" w:sz="18" w:space="0" w:color="FFFFFF"/>
              <w:left w:val="single" w:sz="18" w:space="0" w:color="FFFFFF"/>
              <w:bottom w:val="single" w:sz="18" w:space="0" w:color="FFFFFF"/>
              <w:right w:val="single" w:sz="18" w:space="0" w:color="FFFFFF"/>
            </w:tcBorders>
            <w:shd w:val="clear" w:color="auto" w:fill="auto"/>
          </w:tcPr>
          <w:p w14:paraId="1AD4B4EB" w14:textId="77777777" w:rsidR="00AE1F7D" w:rsidRPr="00D312F8" w:rsidRDefault="00907B19" w:rsidP="00AE1F7D">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Commitment to protecting the local environment</w:t>
            </w:r>
          </w:p>
        </w:tc>
        <w:tc>
          <w:tcPr>
            <w:tcW w:w="3043" w:type="dxa"/>
            <w:tcBorders>
              <w:top w:val="single" w:sz="18" w:space="0" w:color="FFFFFF"/>
              <w:left w:val="single" w:sz="18" w:space="0" w:color="FFFFFF"/>
              <w:bottom w:val="single" w:sz="18" w:space="0" w:color="FFFFFF"/>
              <w:right w:val="single" w:sz="18" w:space="0" w:color="FFFFFF"/>
            </w:tcBorders>
            <w:shd w:val="clear" w:color="auto" w:fill="auto"/>
          </w:tcPr>
          <w:p w14:paraId="1AD4B4EC" w14:textId="77777777" w:rsidR="00AE1F7D" w:rsidRPr="00D312F8" w:rsidRDefault="00907B19" w:rsidP="00AE1F7D">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quality recreational activities</w:t>
            </w:r>
          </w:p>
        </w:tc>
      </w:tr>
    </w:tbl>
    <w:bookmarkEnd w:id="16"/>
    <w:p w14:paraId="1AD4B4EE" w14:textId="77777777" w:rsidR="00AE1F7D" w:rsidRPr="00460D79" w:rsidRDefault="00907B19" w:rsidP="00AE1F7D">
      <w:pPr>
        <w:pStyle w:val="Heading2"/>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1AD4B4EF" w14:textId="77777777" w:rsidR="00AE1F7D" w:rsidRDefault="00907B19" w:rsidP="00AE1F7D">
      <w:pPr>
        <w:pStyle w:val="ListParagraph"/>
        <w:numPr>
          <w:ilvl w:val="0"/>
          <w:numId w:val="8"/>
        </w:numPr>
        <w:spacing w:after="0" w:line="240" w:lineRule="auto"/>
        <w:rPr>
          <w:rFonts w:ascii="Arial" w:eastAsia="Calibri" w:hAnsi="Arial" w:cs="Times New Roman"/>
        </w:rPr>
      </w:pPr>
      <w:r w:rsidRPr="00EE2454">
        <w:rPr>
          <w:rFonts w:ascii="Arial" w:eastAsia="Calibri" w:hAnsi="Arial" w:cs="Times New Roman"/>
        </w:rPr>
        <w:t>As part of the ongoing commitment to the environment and to help tackle climate change, the</w:t>
      </w:r>
      <w:r>
        <w:rPr>
          <w:rFonts w:ascii="Arial" w:eastAsia="Calibri" w:hAnsi="Arial" w:cs="Times New Roman"/>
        </w:rPr>
        <w:t xml:space="preserve"> council has delivered 1.2km of new cycle and pedestrian routes alongside the river Lostock between Dunkirk lane and Longmeanygate. There has also been 8km of improvements delivered to footpaths across the green links network. The green link network aims to encourage cycling and walking across the borough. Solar panels have been installed at the Civic Centre which will produce clean renewable energy, reducing the Council’s energy costs and lowering carbon emissions. In quarter three, work will be undertaken to promote home energy saving schemes through the Council’s website to encourage residents to consider their own energy consumption. The installation of four electric vehicle charging points is to be completed in Leyland, Bamber Bridge, Lostock Hall and Penwortham. </w:t>
      </w:r>
    </w:p>
    <w:p w14:paraId="1AD4B4F0" w14:textId="77777777" w:rsidR="00AE1F7D" w:rsidRPr="00EE2454" w:rsidRDefault="007474A4" w:rsidP="00AE1F7D">
      <w:pPr>
        <w:pStyle w:val="ListParagraph"/>
        <w:spacing w:after="0" w:line="240" w:lineRule="auto"/>
        <w:ind w:left="360"/>
        <w:rPr>
          <w:rFonts w:ascii="Arial" w:eastAsia="Calibri" w:hAnsi="Arial" w:cs="Times New Roman"/>
        </w:rPr>
      </w:pPr>
    </w:p>
    <w:p w14:paraId="1AD4B4F1" w14:textId="77777777" w:rsidR="00AE1F7D" w:rsidRDefault="00907B19" w:rsidP="00AE1F7D">
      <w:pPr>
        <w:pStyle w:val="ListParagraph"/>
        <w:numPr>
          <w:ilvl w:val="0"/>
          <w:numId w:val="8"/>
        </w:numPr>
        <w:spacing w:after="0" w:line="240" w:lineRule="auto"/>
        <w:rPr>
          <w:rFonts w:ascii="Arial" w:eastAsia="Calibri" w:hAnsi="Arial" w:cs="Times New Roman"/>
        </w:rPr>
      </w:pPr>
      <w:r>
        <w:rPr>
          <w:rFonts w:ascii="Arial" w:eastAsia="Calibri" w:hAnsi="Arial" w:cs="Times New Roman"/>
          <w:color w:val="FF0000"/>
        </w:rPr>
        <w:t xml:space="preserve"> </w:t>
      </w:r>
      <w:r w:rsidRPr="00255EDE">
        <w:rPr>
          <w:rFonts w:ascii="Arial" w:eastAsia="Calibri" w:hAnsi="Arial" w:cs="Times New Roman"/>
        </w:rPr>
        <w:t xml:space="preserve">Progress has been made </w:t>
      </w:r>
      <w:r>
        <w:rPr>
          <w:rFonts w:ascii="Arial" w:eastAsia="Calibri" w:hAnsi="Arial" w:cs="Times New Roman"/>
        </w:rPr>
        <w:t>in</w:t>
      </w:r>
      <w:r w:rsidRPr="00255EDE">
        <w:rPr>
          <w:rFonts w:ascii="Arial" w:eastAsia="Calibri" w:hAnsi="Arial" w:cs="Times New Roman"/>
        </w:rPr>
        <w:t xml:space="preserve"> quarter</w:t>
      </w:r>
      <w:r>
        <w:rPr>
          <w:rFonts w:ascii="Arial" w:eastAsia="Calibri" w:hAnsi="Arial" w:cs="Times New Roman"/>
        </w:rPr>
        <w:t xml:space="preserve"> two</w:t>
      </w:r>
      <w:r w:rsidRPr="00255EDE">
        <w:rPr>
          <w:rFonts w:ascii="Arial" w:eastAsia="Calibri" w:hAnsi="Arial" w:cs="Times New Roman"/>
        </w:rPr>
        <w:t xml:space="preserve"> for the development of the McKenzie Arms</w:t>
      </w:r>
      <w:r>
        <w:rPr>
          <w:rFonts w:ascii="Arial" w:eastAsia="Calibri" w:hAnsi="Arial" w:cs="Times New Roman"/>
        </w:rPr>
        <w:t>,</w:t>
      </w:r>
      <w:r w:rsidRPr="00255EDE">
        <w:rPr>
          <w:rFonts w:ascii="Arial" w:eastAsia="Calibri" w:hAnsi="Arial" w:cs="Times New Roman"/>
        </w:rPr>
        <w:t xml:space="preserve"> with a contractor appointed</w:t>
      </w:r>
      <w:r>
        <w:rPr>
          <w:rFonts w:ascii="Arial" w:eastAsia="Calibri" w:hAnsi="Arial" w:cs="Times New Roman"/>
        </w:rPr>
        <w:t xml:space="preserve"> and progression of the design</w:t>
      </w:r>
      <w:r w:rsidRPr="00255EDE">
        <w:rPr>
          <w:rFonts w:ascii="Arial" w:eastAsia="Calibri" w:hAnsi="Arial" w:cs="Times New Roman"/>
        </w:rPr>
        <w:t xml:space="preserve"> to deliver the scheme</w:t>
      </w:r>
      <w:r>
        <w:rPr>
          <w:rFonts w:ascii="Arial" w:eastAsia="Calibri" w:hAnsi="Arial" w:cs="Times New Roman"/>
        </w:rPr>
        <w:t xml:space="preserve"> and development of a</w:t>
      </w:r>
      <w:r w:rsidRPr="003A37DD">
        <w:rPr>
          <w:rFonts w:ascii="Arial" w:eastAsia="Calibri" w:hAnsi="Arial" w:cs="Times New Roman"/>
        </w:rPr>
        <w:t xml:space="preserve"> funding bid to Homes England </w:t>
      </w:r>
      <w:r>
        <w:rPr>
          <w:rFonts w:ascii="Arial" w:eastAsia="Calibri" w:hAnsi="Arial" w:cs="Times New Roman"/>
        </w:rPr>
        <w:t>as part of</w:t>
      </w:r>
      <w:r w:rsidRPr="003A37DD">
        <w:rPr>
          <w:rFonts w:ascii="Arial" w:eastAsia="Calibri" w:hAnsi="Arial" w:cs="Times New Roman"/>
        </w:rPr>
        <w:t xml:space="preserve"> the Affordable Homes Programme</w:t>
      </w:r>
      <w:r>
        <w:rPr>
          <w:rFonts w:ascii="Arial" w:eastAsia="Calibri" w:hAnsi="Arial" w:cs="Times New Roman"/>
        </w:rPr>
        <w:t>.</w:t>
      </w:r>
      <w:r w:rsidRPr="003A37DD">
        <w:rPr>
          <w:rFonts w:ascii="Arial" w:eastAsia="Calibri" w:hAnsi="Arial" w:cs="Times New Roman"/>
        </w:rPr>
        <w:t xml:space="preserve"> The</w:t>
      </w:r>
      <w:r>
        <w:rPr>
          <w:rFonts w:ascii="Arial" w:eastAsia="Calibri" w:hAnsi="Arial" w:cs="Times New Roman"/>
        </w:rPr>
        <w:t xml:space="preserve"> McKenzie Arms</w:t>
      </w:r>
      <w:r w:rsidRPr="003A37DD">
        <w:rPr>
          <w:rFonts w:ascii="Arial" w:eastAsia="Calibri" w:hAnsi="Arial" w:cs="Times New Roman"/>
        </w:rPr>
        <w:t xml:space="preserve"> development will provide 15 new quality affordable homes in Bamber Bridge.</w:t>
      </w:r>
      <w:r>
        <w:rPr>
          <w:rFonts w:ascii="Arial" w:eastAsia="Calibri" w:hAnsi="Arial" w:cs="Times New Roman"/>
        </w:rPr>
        <w:t xml:space="preserve"> </w:t>
      </w:r>
      <w:r w:rsidRPr="00656C4F">
        <w:rPr>
          <w:rFonts w:ascii="Arial" w:eastAsia="Calibri" w:hAnsi="Arial" w:cs="Times New Roman"/>
        </w:rPr>
        <w:t>The Extra Care scheme will provide apartments and extra care and support for older residents and at the same time allowing them to live independent lives as part of the local community</w:t>
      </w:r>
      <w:r>
        <w:rPr>
          <w:rFonts w:ascii="Arial" w:eastAsia="Calibri" w:hAnsi="Arial" w:cs="Times New Roman"/>
        </w:rPr>
        <w:t>. The Extra Care scheme has moved forward with a team of consultants being appointed to deliver a feasibility study and initial options appraisals. Cabinet has approved the use of the land on West Paddock next to the Civic Centre for the proposed Extra Care facility. Looking ahead to next quarter, work on site is to commence for the McKenzie Arms Development and the funding bid to Homes England will be submitted. A public consultation is to commence for the Extra Care scheme and work will begin to progress stage two of the design.</w:t>
      </w:r>
    </w:p>
    <w:p w14:paraId="1AD4B4F2" w14:textId="77777777" w:rsidR="00AE1F7D" w:rsidRPr="00200B38" w:rsidRDefault="007474A4" w:rsidP="00AE1F7D">
      <w:pPr>
        <w:spacing w:after="0" w:line="240" w:lineRule="auto"/>
        <w:rPr>
          <w:rFonts w:ascii="Arial" w:eastAsia="Calibri" w:hAnsi="Arial" w:cs="Times New Roman"/>
        </w:rPr>
      </w:pPr>
    </w:p>
    <w:p w14:paraId="1AD4B4F3" w14:textId="77777777" w:rsidR="00AE1F7D" w:rsidRDefault="00907B19" w:rsidP="00AE1F7D">
      <w:pPr>
        <w:pStyle w:val="ListParagraph"/>
        <w:numPr>
          <w:ilvl w:val="0"/>
          <w:numId w:val="8"/>
        </w:numPr>
        <w:spacing w:after="0" w:line="240" w:lineRule="auto"/>
        <w:rPr>
          <w:rFonts w:ascii="Arial" w:eastAsia="Calibri" w:hAnsi="Arial" w:cs="Times New Roman"/>
        </w:rPr>
      </w:pPr>
      <w:r w:rsidRPr="00ED261D">
        <w:rPr>
          <w:rFonts w:ascii="Arial" w:eastAsia="Calibri" w:hAnsi="Arial" w:cs="Times New Roman"/>
        </w:rPr>
        <w:t>Improvement</w:t>
      </w:r>
      <w:r>
        <w:rPr>
          <w:rFonts w:ascii="Arial" w:eastAsia="Calibri" w:hAnsi="Arial" w:cs="Times New Roman"/>
        </w:rPr>
        <w:t>s</w:t>
      </w:r>
      <w:r w:rsidRPr="00ED261D">
        <w:rPr>
          <w:rFonts w:ascii="Arial" w:eastAsia="Calibri" w:hAnsi="Arial" w:cs="Times New Roman"/>
        </w:rPr>
        <w:t xml:space="preserve"> to </w:t>
      </w:r>
      <w:r>
        <w:rPr>
          <w:rFonts w:ascii="Arial" w:eastAsia="Calibri" w:hAnsi="Arial" w:cs="Times New Roman"/>
        </w:rPr>
        <w:t>the C</w:t>
      </w:r>
      <w:r w:rsidRPr="00ED261D">
        <w:rPr>
          <w:rFonts w:ascii="Arial" w:eastAsia="Calibri" w:hAnsi="Arial" w:cs="Times New Roman"/>
        </w:rPr>
        <w:t>ouncil owned leisure facilities has progressed with the submission of a report to</w:t>
      </w:r>
      <w:r>
        <w:rPr>
          <w:rFonts w:ascii="Arial" w:eastAsia="Calibri" w:hAnsi="Arial" w:cs="Times New Roman"/>
        </w:rPr>
        <w:t xml:space="preserve"> Full</w:t>
      </w:r>
      <w:r w:rsidRPr="00ED261D">
        <w:rPr>
          <w:rFonts w:ascii="Arial" w:eastAsia="Calibri" w:hAnsi="Arial" w:cs="Times New Roman"/>
        </w:rPr>
        <w:t xml:space="preserve"> Council in July</w:t>
      </w:r>
      <w:r>
        <w:rPr>
          <w:rFonts w:ascii="Arial" w:eastAsia="Calibri" w:hAnsi="Arial" w:cs="Times New Roman"/>
        </w:rPr>
        <w:t xml:space="preserve"> 2021. The report</w:t>
      </w:r>
      <w:r w:rsidRPr="00ED261D">
        <w:rPr>
          <w:rFonts w:ascii="Arial" w:eastAsia="Calibri" w:hAnsi="Arial" w:cs="Times New Roman"/>
        </w:rPr>
        <w:t xml:space="preserve"> </w:t>
      </w:r>
      <w:r>
        <w:rPr>
          <w:rFonts w:ascii="Arial" w:eastAsia="Calibri" w:hAnsi="Arial" w:cs="Times New Roman"/>
        </w:rPr>
        <w:t xml:space="preserve">sought the </w:t>
      </w:r>
      <w:r w:rsidRPr="00ED261D">
        <w:rPr>
          <w:rFonts w:ascii="Arial" w:eastAsia="Calibri" w:hAnsi="Arial" w:cs="Times New Roman"/>
        </w:rPr>
        <w:t>approv</w:t>
      </w:r>
      <w:r>
        <w:rPr>
          <w:rFonts w:ascii="Arial" w:eastAsia="Calibri" w:hAnsi="Arial" w:cs="Times New Roman"/>
        </w:rPr>
        <w:t>al</w:t>
      </w:r>
      <w:r w:rsidRPr="00ED261D">
        <w:rPr>
          <w:rFonts w:ascii="Arial" w:eastAsia="Calibri" w:hAnsi="Arial" w:cs="Times New Roman"/>
        </w:rPr>
        <w:t xml:space="preserve"> </w:t>
      </w:r>
      <w:r>
        <w:rPr>
          <w:rFonts w:ascii="Arial" w:eastAsia="Calibri" w:hAnsi="Arial" w:cs="Times New Roman"/>
        </w:rPr>
        <w:t xml:space="preserve">of </w:t>
      </w:r>
      <w:r w:rsidRPr="00ED261D">
        <w:rPr>
          <w:rFonts w:ascii="Arial" w:eastAsia="Calibri" w:hAnsi="Arial" w:cs="Times New Roman"/>
        </w:rPr>
        <w:t>the leisure centre decarbonisation plans, allowing their submission as part of current and future grant applications for funding to assist in</w:t>
      </w:r>
      <w:r>
        <w:rPr>
          <w:rFonts w:ascii="Arial" w:eastAsia="Calibri" w:hAnsi="Arial" w:cs="Times New Roman"/>
        </w:rPr>
        <w:t xml:space="preserve"> significantly reducing</w:t>
      </w:r>
      <w:r w:rsidRPr="00ED261D">
        <w:rPr>
          <w:rFonts w:ascii="Arial" w:eastAsia="Calibri" w:hAnsi="Arial" w:cs="Times New Roman"/>
        </w:rPr>
        <w:t xml:space="preserve"> the </w:t>
      </w:r>
      <w:r>
        <w:rPr>
          <w:rFonts w:ascii="Arial" w:eastAsia="Calibri" w:hAnsi="Arial" w:cs="Times New Roman"/>
        </w:rPr>
        <w:t>C</w:t>
      </w:r>
      <w:r w:rsidRPr="00ED261D">
        <w:rPr>
          <w:rFonts w:ascii="Arial" w:eastAsia="Calibri" w:hAnsi="Arial" w:cs="Times New Roman"/>
        </w:rPr>
        <w:t xml:space="preserve">ouncil’s carbon </w:t>
      </w:r>
      <w:r>
        <w:rPr>
          <w:rFonts w:ascii="Arial" w:eastAsia="Calibri" w:hAnsi="Arial" w:cs="Times New Roman"/>
        </w:rPr>
        <w:t>footprint</w:t>
      </w:r>
      <w:r w:rsidRPr="00ED261D">
        <w:rPr>
          <w:rFonts w:ascii="Arial" w:eastAsia="Calibri" w:hAnsi="Arial" w:cs="Times New Roman"/>
        </w:rPr>
        <w:t xml:space="preserve"> and providing good quality leisure facilities. The decarbonation grant applications </w:t>
      </w:r>
      <w:r>
        <w:rPr>
          <w:rFonts w:ascii="Arial" w:eastAsia="Calibri" w:hAnsi="Arial" w:cs="Times New Roman"/>
        </w:rPr>
        <w:t xml:space="preserve">totalling £3.4 million for projects such as solar panels, replacement of boilers where possible, window insulation and the installation of an energy management systems at all four of the council owned leisure centres </w:t>
      </w:r>
      <w:r w:rsidRPr="00ED261D">
        <w:rPr>
          <w:rFonts w:ascii="Arial" w:eastAsia="Calibri" w:hAnsi="Arial" w:cs="Times New Roman"/>
        </w:rPr>
        <w:t xml:space="preserve">been complete and </w:t>
      </w:r>
      <w:r>
        <w:rPr>
          <w:rFonts w:ascii="Arial" w:eastAsia="Calibri" w:hAnsi="Arial" w:cs="Times New Roman"/>
        </w:rPr>
        <w:t xml:space="preserve">will </w:t>
      </w:r>
      <w:r w:rsidRPr="00ED261D">
        <w:rPr>
          <w:rFonts w:ascii="Arial" w:eastAsia="Calibri" w:hAnsi="Arial" w:cs="Times New Roman"/>
        </w:rPr>
        <w:t>be submitted to the funding body in quarter three.</w:t>
      </w:r>
      <w:r>
        <w:rPr>
          <w:rFonts w:ascii="Arial" w:eastAsia="Calibri" w:hAnsi="Arial" w:cs="Times New Roman"/>
        </w:rPr>
        <w:t xml:space="preserve"> </w:t>
      </w:r>
      <w:r w:rsidRPr="00ED261D">
        <w:rPr>
          <w:rFonts w:ascii="Arial" w:eastAsia="Calibri" w:hAnsi="Arial" w:cs="Times New Roman"/>
        </w:rPr>
        <w:t xml:space="preserve">The tendering process has been complete, and a contract </w:t>
      </w:r>
      <w:r>
        <w:rPr>
          <w:rFonts w:ascii="Arial" w:eastAsia="Calibri" w:hAnsi="Arial" w:cs="Times New Roman"/>
        </w:rPr>
        <w:t>has</w:t>
      </w:r>
      <w:r w:rsidRPr="00ED261D">
        <w:rPr>
          <w:rFonts w:ascii="Arial" w:eastAsia="Calibri" w:hAnsi="Arial" w:cs="Times New Roman"/>
        </w:rPr>
        <w:t xml:space="preserve"> been awarded for the Tennis Centre car park extension</w:t>
      </w:r>
      <w:r>
        <w:rPr>
          <w:rFonts w:ascii="Arial" w:eastAsia="Calibri" w:hAnsi="Arial" w:cs="Times New Roman"/>
        </w:rPr>
        <w:t>. Th</w:t>
      </w:r>
      <w:r w:rsidRPr="00ED261D">
        <w:rPr>
          <w:rFonts w:ascii="Arial" w:eastAsia="Calibri" w:hAnsi="Arial" w:cs="Times New Roman"/>
        </w:rPr>
        <w:t xml:space="preserve">e painting and cladding </w:t>
      </w:r>
      <w:r>
        <w:rPr>
          <w:rFonts w:ascii="Arial" w:eastAsia="Calibri" w:hAnsi="Arial" w:cs="Times New Roman"/>
        </w:rPr>
        <w:t xml:space="preserve">work </w:t>
      </w:r>
      <w:r w:rsidRPr="00ED261D">
        <w:rPr>
          <w:rFonts w:ascii="Arial" w:eastAsia="Calibri" w:hAnsi="Arial" w:cs="Times New Roman"/>
        </w:rPr>
        <w:t xml:space="preserve">for the leisure centres </w:t>
      </w:r>
      <w:r>
        <w:rPr>
          <w:rFonts w:ascii="Arial" w:eastAsia="Calibri" w:hAnsi="Arial" w:cs="Times New Roman"/>
        </w:rPr>
        <w:t xml:space="preserve">is </w:t>
      </w:r>
      <w:r w:rsidRPr="00ED261D">
        <w:rPr>
          <w:rFonts w:ascii="Arial" w:eastAsia="Calibri" w:hAnsi="Arial" w:cs="Times New Roman"/>
        </w:rPr>
        <w:t>to commence</w:t>
      </w:r>
      <w:r>
        <w:rPr>
          <w:rFonts w:ascii="Arial" w:eastAsia="Calibri" w:hAnsi="Arial" w:cs="Times New Roman"/>
        </w:rPr>
        <w:t xml:space="preserve"> on site</w:t>
      </w:r>
      <w:r w:rsidRPr="00ED261D">
        <w:rPr>
          <w:rFonts w:ascii="Arial" w:eastAsia="Calibri" w:hAnsi="Arial" w:cs="Times New Roman"/>
        </w:rPr>
        <w:t xml:space="preserve"> in quarter three</w:t>
      </w:r>
      <w:r>
        <w:rPr>
          <w:rFonts w:ascii="Arial" w:eastAsia="Calibri" w:hAnsi="Arial" w:cs="Times New Roman"/>
        </w:rPr>
        <w:t xml:space="preserve">. </w:t>
      </w:r>
    </w:p>
    <w:p w14:paraId="1AD4B4F4" w14:textId="77777777" w:rsidR="00AE1F7D" w:rsidRDefault="007474A4" w:rsidP="00AE1F7D">
      <w:pPr>
        <w:pStyle w:val="ListParagraph"/>
        <w:rPr>
          <w:rFonts w:ascii="Arial" w:eastAsia="Calibri" w:hAnsi="Arial" w:cs="Times New Roman"/>
        </w:rPr>
      </w:pPr>
    </w:p>
    <w:p w14:paraId="1AD4B4F5" w14:textId="77777777" w:rsidR="00AE1F7D" w:rsidRPr="00841400" w:rsidRDefault="007474A4" w:rsidP="00AE1F7D">
      <w:pPr>
        <w:pStyle w:val="ListParagraph"/>
        <w:rPr>
          <w:rFonts w:ascii="Arial" w:eastAsia="Calibri" w:hAnsi="Arial" w:cs="Times New Roman"/>
        </w:rPr>
      </w:pPr>
    </w:p>
    <w:p w14:paraId="1AD4B4F6" w14:textId="77777777" w:rsidR="00AE1F7D" w:rsidRDefault="00907B19" w:rsidP="00AE1F7D">
      <w:pPr>
        <w:pStyle w:val="ListParagraph"/>
        <w:numPr>
          <w:ilvl w:val="0"/>
          <w:numId w:val="8"/>
        </w:numPr>
        <w:spacing w:after="0" w:line="240" w:lineRule="auto"/>
        <w:rPr>
          <w:rFonts w:ascii="Arial" w:eastAsia="Calibri" w:hAnsi="Arial" w:cs="Times New Roman"/>
        </w:rPr>
      </w:pPr>
      <w:r w:rsidRPr="00A0644E">
        <w:rPr>
          <w:rFonts w:ascii="Arial" w:eastAsia="Calibri" w:hAnsi="Arial" w:cs="Times New Roman"/>
          <w:color w:val="FF0000"/>
        </w:rPr>
        <w:lastRenderedPageBreak/>
        <w:t xml:space="preserve"> </w:t>
      </w:r>
      <w:r w:rsidRPr="00A0644E">
        <w:rPr>
          <w:rFonts w:ascii="Arial" w:eastAsia="Calibri" w:hAnsi="Arial" w:cs="Times New Roman"/>
        </w:rPr>
        <w:t xml:space="preserve">The development to bring Worden </w:t>
      </w:r>
      <w:r>
        <w:rPr>
          <w:rFonts w:ascii="Arial" w:eastAsia="Calibri" w:hAnsi="Arial" w:cs="Times New Roman"/>
        </w:rPr>
        <w:t>H</w:t>
      </w:r>
      <w:r w:rsidRPr="00A0644E">
        <w:rPr>
          <w:rFonts w:ascii="Arial" w:eastAsia="Calibri" w:hAnsi="Arial" w:cs="Times New Roman"/>
        </w:rPr>
        <w:t xml:space="preserve">all back into use as a flexible community and event space has progressed with a contractor being appointed to deliver the project. The refurbishment works began on site in August and a public drop-in engagement event </w:t>
      </w:r>
      <w:r>
        <w:rPr>
          <w:rFonts w:ascii="Arial" w:eastAsia="Calibri" w:hAnsi="Arial" w:cs="Times New Roman"/>
        </w:rPr>
        <w:t>has been</w:t>
      </w:r>
      <w:r w:rsidRPr="00A0644E">
        <w:rPr>
          <w:rFonts w:ascii="Arial" w:eastAsia="Calibri" w:hAnsi="Arial" w:cs="Times New Roman"/>
        </w:rPr>
        <w:t xml:space="preserve"> held</w:t>
      </w:r>
      <w:r>
        <w:rPr>
          <w:rFonts w:ascii="Arial" w:eastAsia="Calibri" w:hAnsi="Arial" w:cs="Times New Roman"/>
        </w:rPr>
        <w:t xml:space="preserve"> at Worden Hall with 30 people attending</w:t>
      </w:r>
      <w:r w:rsidRPr="00A0644E">
        <w:rPr>
          <w:rFonts w:ascii="Arial" w:eastAsia="Calibri" w:hAnsi="Arial" w:cs="Times New Roman"/>
        </w:rPr>
        <w:t>. The event gave the public the opportunity review and ask questions about the refurbishment plans</w:t>
      </w:r>
      <w:r>
        <w:rPr>
          <w:rFonts w:ascii="Arial" w:eastAsia="Calibri" w:hAnsi="Arial" w:cs="Times New Roman"/>
        </w:rPr>
        <w:t>. Completed r</w:t>
      </w:r>
      <w:r w:rsidRPr="00A0644E">
        <w:rPr>
          <w:rFonts w:ascii="Arial" w:eastAsia="Calibri" w:hAnsi="Arial" w:cs="Times New Roman"/>
        </w:rPr>
        <w:t>efurbishment works to the buildings include, the outbuilding and the old conservatory ha</w:t>
      </w:r>
      <w:r>
        <w:rPr>
          <w:rFonts w:ascii="Arial" w:eastAsia="Calibri" w:hAnsi="Arial" w:cs="Times New Roman"/>
        </w:rPr>
        <w:t>ve</w:t>
      </w:r>
      <w:r w:rsidRPr="00A0644E">
        <w:rPr>
          <w:rFonts w:ascii="Arial" w:eastAsia="Calibri" w:hAnsi="Arial" w:cs="Times New Roman"/>
        </w:rPr>
        <w:t xml:space="preserve"> been demolished under the supervision of an archaeologist</w:t>
      </w:r>
      <w:r>
        <w:rPr>
          <w:rFonts w:ascii="Arial" w:eastAsia="Calibri" w:hAnsi="Arial" w:cs="Times New Roman"/>
        </w:rPr>
        <w:t>;</w:t>
      </w:r>
      <w:r w:rsidRPr="00A0644E">
        <w:rPr>
          <w:rFonts w:ascii="Arial" w:eastAsia="Calibri" w:hAnsi="Arial" w:cs="Times New Roman"/>
        </w:rPr>
        <w:t xml:space="preserve"> </w:t>
      </w:r>
      <w:r>
        <w:rPr>
          <w:rFonts w:ascii="Arial" w:eastAsia="Calibri" w:hAnsi="Arial" w:cs="Times New Roman"/>
        </w:rPr>
        <w:t>t</w:t>
      </w:r>
      <w:r w:rsidRPr="00A0644E">
        <w:rPr>
          <w:rFonts w:ascii="Arial" w:eastAsia="Calibri" w:hAnsi="Arial" w:cs="Times New Roman"/>
        </w:rPr>
        <w:t xml:space="preserve">he infill of the old basement has </w:t>
      </w:r>
      <w:r>
        <w:rPr>
          <w:rFonts w:ascii="Arial" w:eastAsia="Calibri" w:hAnsi="Arial" w:cs="Times New Roman"/>
        </w:rPr>
        <w:t xml:space="preserve">also </w:t>
      </w:r>
      <w:r w:rsidRPr="00A0644E">
        <w:rPr>
          <w:rFonts w:ascii="Arial" w:eastAsia="Calibri" w:hAnsi="Arial" w:cs="Times New Roman"/>
        </w:rPr>
        <w:t xml:space="preserve">been completed to allow for the foundations for the new lift shaft and toilet block to be installed. In quarter three, further </w:t>
      </w:r>
      <w:r>
        <w:rPr>
          <w:rFonts w:ascii="Arial" w:eastAsia="Calibri" w:hAnsi="Arial" w:cs="Times New Roman"/>
        </w:rPr>
        <w:t xml:space="preserve">refurbishment </w:t>
      </w:r>
      <w:r w:rsidRPr="00A0644E">
        <w:rPr>
          <w:rFonts w:ascii="Arial" w:eastAsia="Calibri" w:hAnsi="Arial" w:cs="Times New Roman"/>
        </w:rPr>
        <w:t>works</w:t>
      </w:r>
      <w:r>
        <w:rPr>
          <w:rFonts w:ascii="Arial" w:eastAsia="Calibri" w:hAnsi="Arial" w:cs="Times New Roman"/>
        </w:rPr>
        <w:t xml:space="preserve"> will be undertaken</w:t>
      </w:r>
      <w:r w:rsidRPr="00A0644E">
        <w:rPr>
          <w:rFonts w:ascii="Arial" w:eastAsia="Calibri" w:hAnsi="Arial" w:cs="Times New Roman"/>
        </w:rPr>
        <w:t xml:space="preserve"> to the </w:t>
      </w:r>
      <w:r>
        <w:rPr>
          <w:rFonts w:ascii="Arial" w:eastAsia="Calibri" w:hAnsi="Arial" w:cs="Times New Roman"/>
        </w:rPr>
        <w:t>h</w:t>
      </w:r>
      <w:r w:rsidRPr="00A0644E">
        <w:rPr>
          <w:rFonts w:ascii="Arial" w:eastAsia="Calibri" w:hAnsi="Arial" w:cs="Times New Roman"/>
        </w:rPr>
        <w:t>all’s windows, roof, drainage, lift shaft, toilets and new plant room buildings</w:t>
      </w:r>
      <w:r>
        <w:rPr>
          <w:rFonts w:ascii="Arial" w:eastAsia="Calibri" w:hAnsi="Arial" w:cs="Times New Roman"/>
        </w:rPr>
        <w:t>.</w:t>
      </w:r>
    </w:p>
    <w:p w14:paraId="1AD4B4F7" w14:textId="77777777" w:rsidR="00AE1F7D" w:rsidRDefault="007474A4" w:rsidP="00AE1F7D">
      <w:pPr>
        <w:pStyle w:val="ListParagraph"/>
        <w:rPr>
          <w:rFonts w:ascii="Arial" w:eastAsia="Calibri" w:hAnsi="Arial" w:cs="Times New Roman"/>
        </w:rPr>
      </w:pPr>
    </w:p>
    <w:p w14:paraId="1AD4B4F8" w14:textId="77777777" w:rsidR="00AE1F7D" w:rsidRPr="00A0644E" w:rsidRDefault="00907B19" w:rsidP="00AE1F7D">
      <w:pPr>
        <w:pStyle w:val="ListParagraph"/>
        <w:numPr>
          <w:ilvl w:val="0"/>
          <w:numId w:val="8"/>
        </w:numPr>
        <w:spacing w:after="0" w:line="240" w:lineRule="auto"/>
        <w:rPr>
          <w:rFonts w:ascii="Arial" w:eastAsia="Calibri" w:hAnsi="Arial" w:cs="Times New Roman"/>
        </w:rPr>
      </w:pPr>
      <w:r w:rsidRPr="00A0644E">
        <w:rPr>
          <w:rFonts w:ascii="Arial" w:eastAsia="Calibri" w:hAnsi="Arial" w:cs="Times New Roman"/>
        </w:rPr>
        <w:t xml:space="preserve">Of the four projects within this priority, three are rated green and one is rated as amber.  </w:t>
      </w:r>
    </w:p>
    <w:tbl>
      <w:tblPr>
        <w:tblpPr w:leftFromText="180" w:rightFromText="180" w:vertAnchor="text" w:horzAnchor="margin" w:tblpY="259"/>
        <w:tblOverlap w:val="never"/>
        <w:tblW w:w="9905" w:type="dxa"/>
        <w:tblLook w:val="04A0" w:firstRow="1" w:lastRow="0" w:firstColumn="1" w:lastColumn="0" w:noHBand="0" w:noVBand="1"/>
      </w:tblPr>
      <w:tblGrid>
        <w:gridCol w:w="7839"/>
        <w:gridCol w:w="2066"/>
      </w:tblGrid>
      <w:tr w:rsidR="00066063" w14:paraId="1AD4B4FB" w14:textId="77777777" w:rsidTr="00AE1F7D">
        <w:trPr>
          <w:trHeight w:val="231"/>
          <w:tblHeader/>
        </w:trPr>
        <w:tc>
          <w:tcPr>
            <w:tcW w:w="7839" w:type="dxa"/>
            <w:tcBorders>
              <w:top w:val="single" w:sz="4" w:space="0" w:color="auto"/>
              <w:left w:val="single" w:sz="4" w:space="0" w:color="auto"/>
              <w:right w:val="single" w:sz="4" w:space="0" w:color="auto"/>
            </w:tcBorders>
            <w:shd w:val="clear" w:color="auto" w:fill="BFBFBF"/>
            <w:vAlign w:val="center"/>
          </w:tcPr>
          <w:p w14:paraId="1AD4B4F9" w14:textId="77777777" w:rsidR="00AE1F7D" w:rsidRPr="00D312F8" w:rsidRDefault="007474A4" w:rsidP="00AE1F7D">
            <w:pPr>
              <w:spacing w:after="0" w:line="240" w:lineRule="auto"/>
              <w:rPr>
                <w:rFonts w:ascii="Arial" w:eastAsia="Times New Roman" w:hAnsi="Arial" w:cs="Arial"/>
                <w:b/>
                <w:szCs w:val="20"/>
                <w:lang w:eastAsia="en-GB"/>
              </w:rPr>
            </w:pPr>
          </w:p>
        </w:tc>
        <w:tc>
          <w:tcPr>
            <w:tcW w:w="2066" w:type="dxa"/>
            <w:tcBorders>
              <w:top w:val="single" w:sz="4" w:space="0" w:color="auto"/>
              <w:left w:val="single" w:sz="4" w:space="0" w:color="auto"/>
              <w:right w:val="single" w:sz="4" w:space="0" w:color="auto"/>
            </w:tcBorders>
            <w:shd w:val="clear" w:color="auto" w:fill="BFBFBF"/>
            <w:vAlign w:val="center"/>
          </w:tcPr>
          <w:p w14:paraId="1AD4B4FA" w14:textId="77777777" w:rsidR="00AE1F7D" w:rsidRPr="00D312F8" w:rsidRDefault="00907B19"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R="00066063" w14:paraId="1AD4B4FF" w14:textId="77777777" w:rsidTr="00AE1F7D">
        <w:trPr>
          <w:trHeight w:val="231"/>
          <w:tblHeader/>
        </w:trPr>
        <w:tc>
          <w:tcPr>
            <w:tcW w:w="7839" w:type="dxa"/>
            <w:tcBorders>
              <w:left w:val="single" w:sz="4" w:space="0" w:color="auto"/>
              <w:bottom w:val="single" w:sz="4" w:space="0" w:color="auto"/>
              <w:right w:val="single" w:sz="4" w:space="0" w:color="auto"/>
            </w:tcBorders>
            <w:shd w:val="clear" w:color="auto" w:fill="BFBFBF"/>
            <w:vAlign w:val="center"/>
          </w:tcPr>
          <w:p w14:paraId="1AD4B4FC" w14:textId="77777777" w:rsidR="00AE1F7D" w:rsidRPr="00D312F8" w:rsidRDefault="00907B19" w:rsidP="00AE1F7D">
            <w:pPr>
              <w:spacing w:after="0" w:line="240" w:lineRule="auto"/>
              <w:rPr>
                <w:rFonts w:ascii="Arial" w:eastAsia="Times New Roman" w:hAnsi="Arial" w:cs="Arial"/>
                <w:b/>
                <w:szCs w:val="20"/>
                <w:lang w:eastAsia="en-GB"/>
              </w:rPr>
            </w:pPr>
            <w:r w:rsidRPr="00D312F8">
              <w:rPr>
                <w:rFonts w:ascii="Arial" w:eastAsia="Times New Roman" w:hAnsi="Arial" w:cs="Arial"/>
                <w:b/>
                <w:szCs w:val="20"/>
                <w:lang w:eastAsia="en-GB"/>
              </w:rPr>
              <w:t>Projects</w:t>
            </w:r>
          </w:p>
        </w:tc>
        <w:tc>
          <w:tcPr>
            <w:tcW w:w="2066" w:type="dxa"/>
            <w:tcBorders>
              <w:left w:val="single" w:sz="4" w:space="0" w:color="auto"/>
              <w:bottom w:val="single" w:sz="4" w:space="0" w:color="auto"/>
              <w:right w:val="single" w:sz="4" w:space="0" w:color="auto"/>
            </w:tcBorders>
            <w:shd w:val="clear" w:color="auto" w:fill="BFBFBF"/>
            <w:vAlign w:val="center"/>
          </w:tcPr>
          <w:p w14:paraId="1AD4B4FD" w14:textId="77777777" w:rsidR="00AE1F7D" w:rsidRPr="0077663E" w:rsidRDefault="00907B19"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2</w:t>
            </w:r>
          </w:p>
          <w:p w14:paraId="1AD4B4FE" w14:textId="77777777" w:rsidR="00AE1F7D" w:rsidRPr="00D312F8" w:rsidRDefault="00907B19"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July</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Sept</w:t>
            </w:r>
            <w:r w:rsidRPr="0077663E">
              <w:rPr>
                <w:rFonts w:ascii="Arial" w:eastAsia="Times New Roman" w:hAnsi="Arial" w:cs="Arial"/>
                <w:b/>
                <w:szCs w:val="20"/>
                <w:lang w:eastAsia="en-GB"/>
              </w:rPr>
              <w:t>)</w:t>
            </w:r>
          </w:p>
        </w:tc>
      </w:tr>
      <w:tr w:rsidR="00066063" w14:paraId="1AD4B502" w14:textId="77777777" w:rsidTr="00AE1F7D">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1AD4B500" w14:textId="77777777" w:rsidR="00AE1F7D" w:rsidRPr="00D312F8" w:rsidRDefault="00907B19" w:rsidP="00AE1F7D">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Bring Worden Hall back into use</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14:paraId="1AD4B501" w14:textId="77777777" w:rsidR="00AE1F7D" w:rsidRPr="00AA5565" w:rsidRDefault="00907B19" w:rsidP="00AE1F7D">
            <w:pPr>
              <w:spacing w:after="0" w:line="240" w:lineRule="auto"/>
              <w:jc w:val="center"/>
              <w:rPr>
                <w:rFonts w:ascii="Arial" w:eastAsia="Times New Roman" w:hAnsi="Arial" w:cs="Arial"/>
                <w:b/>
                <w:bCs/>
                <w:noProof/>
                <w:color w:val="FFFFFF" w:themeColor="background1"/>
                <w:szCs w:val="20"/>
                <w:lang w:eastAsia="en-GB"/>
              </w:rPr>
            </w:pPr>
            <w:r w:rsidRPr="00AA5565">
              <w:rPr>
                <w:rFonts w:ascii="Arial" w:eastAsia="Times New Roman" w:hAnsi="Arial" w:cs="Arial"/>
                <w:b/>
                <w:bCs/>
                <w:noProof/>
                <w:color w:val="FFFFFF" w:themeColor="background1"/>
                <w:szCs w:val="20"/>
                <w:lang w:eastAsia="en-GB"/>
              </w:rPr>
              <w:t>GREEN</w:t>
            </w:r>
          </w:p>
        </w:tc>
      </w:tr>
      <w:tr w:rsidR="00066063" w14:paraId="1AD4B505" w14:textId="77777777" w:rsidTr="00AE1F7D">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1AD4B503" w14:textId="77777777" w:rsidR="00AE1F7D" w:rsidRPr="00D312F8" w:rsidRDefault="00907B19" w:rsidP="00AE1F7D">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Deliver a project to support the green agenda</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14:paraId="1AD4B504" w14:textId="77777777" w:rsidR="00AE1F7D" w:rsidRPr="00AA5565" w:rsidRDefault="00907B19" w:rsidP="00AE1F7D">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R="00066063" w14:paraId="1AD4B508" w14:textId="77777777" w:rsidTr="00AE1F7D">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1AD4B506" w14:textId="77777777" w:rsidR="00AE1F7D" w:rsidRPr="00D312F8" w:rsidRDefault="00907B19" w:rsidP="00AE1F7D">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Deliver a leisure improvement project</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14:paraId="1AD4B507" w14:textId="77777777" w:rsidR="00AE1F7D" w:rsidRPr="00AA5565" w:rsidRDefault="00907B19" w:rsidP="00AE1F7D">
            <w:pPr>
              <w:spacing w:after="0" w:line="240" w:lineRule="auto"/>
              <w:jc w:val="center"/>
              <w:rPr>
                <w:rFonts w:ascii="Arial" w:eastAsia="Times New Roman" w:hAnsi="Arial" w:cs="Arial"/>
                <w:b/>
                <w:bCs/>
                <w:noProof/>
                <w:color w:val="FFFFFF" w:themeColor="background1"/>
                <w:szCs w:val="20"/>
                <w:lang w:eastAsia="en-GB"/>
              </w:rPr>
            </w:pPr>
            <w:r w:rsidRPr="00DD0E05">
              <w:rPr>
                <w:rFonts w:ascii="Arial" w:eastAsia="Times New Roman" w:hAnsi="Arial" w:cs="Arial"/>
                <w:b/>
                <w:bCs/>
                <w:noProof/>
                <w:color w:val="FFFFFF" w:themeColor="background1"/>
                <w:szCs w:val="20"/>
                <w:lang w:eastAsia="en-GB"/>
              </w:rPr>
              <w:t>GREEN</w:t>
            </w:r>
          </w:p>
        </w:tc>
      </w:tr>
      <w:tr w:rsidR="00066063" w14:paraId="1AD4B50B" w14:textId="77777777" w:rsidTr="00AE1F7D">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1AD4B509" w14:textId="77777777" w:rsidR="00AE1F7D" w:rsidRPr="00D312F8" w:rsidRDefault="00907B19" w:rsidP="00AE1F7D">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Commence building of affordable homes within the borough</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14:paraId="1AD4B50A" w14:textId="77777777" w:rsidR="00AE1F7D" w:rsidRPr="005541F6" w:rsidRDefault="00907B19" w:rsidP="00AE1F7D">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bl>
    <w:p w14:paraId="1AD4B50C" w14:textId="77777777" w:rsidR="00AE1F7D" w:rsidRDefault="007474A4" w:rsidP="00AE1F7D">
      <w:pPr>
        <w:spacing w:after="0" w:line="240" w:lineRule="auto"/>
        <w:contextualSpacing/>
        <w:rPr>
          <w:rFonts w:ascii="Arial" w:eastAsia="Calibri" w:hAnsi="Arial" w:cs="Arial"/>
        </w:rPr>
      </w:pPr>
    </w:p>
    <w:p w14:paraId="1AD4B50D" w14:textId="77777777" w:rsidR="00AE1F7D" w:rsidRDefault="007474A4" w:rsidP="00AE1F7D">
      <w:pPr>
        <w:spacing w:after="0" w:line="240" w:lineRule="auto"/>
        <w:contextualSpacing/>
        <w:rPr>
          <w:rFonts w:ascii="Arial" w:eastAsia="Calibri" w:hAnsi="Arial" w:cs="Arial"/>
        </w:rPr>
      </w:pPr>
    </w:p>
    <w:p w14:paraId="1AD4B50E" w14:textId="77777777" w:rsidR="00AE1F7D" w:rsidRPr="00460D79" w:rsidRDefault="00907B19" w:rsidP="00AE1F7D">
      <w:pPr>
        <w:pStyle w:val="Heading2"/>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p>
    <w:p w14:paraId="1AD4B50F" w14:textId="77777777" w:rsidR="00AE1F7D" w:rsidRDefault="00907B19" w:rsidP="00AE1F7D">
      <w:pPr>
        <w:pStyle w:val="ListParagraph"/>
        <w:numPr>
          <w:ilvl w:val="0"/>
          <w:numId w:val="8"/>
        </w:numPr>
        <w:spacing w:after="0" w:line="240" w:lineRule="auto"/>
        <w:rPr>
          <w:rFonts w:ascii="Arial" w:eastAsia="Calibri" w:hAnsi="Arial" w:cs="Times New Roman"/>
        </w:rPr>
      </w:pPr>
      <w:r w:rsidRPr="00826EB3">
        <w:rPr>
          <w:rFonts w:ascii="Arial" w:eastAsia="Calibri" w:hAnsi="Arial" w:cs="Times New Roman"/>
        </w:rPr>
        <w:t xml:space="preserve">Of the seven performance measures reported under this outcome, </w:t>
      </w:r>
      <w:r>
        <w:rPr>
          <w:rFonts w:ascii="Arial" w:eastAsia="Calibri" w:hAnsi="Arial" w:cs="Times New Roman"/>
        </w:rPr>
        <w:t>four</w:t>
      </w:r>
      <w:r w:rsidRPr="00826EB3">
        <w:rPr>
          <w:rFonts w:ascii="Arial" w:eastAsia="Calibri" w:hAnsi="Arial" w:cs="Times New Roman"/>
        </w:rPr>
        <w:t xml:space="preserve"> performance measures are due to be reported at the end of this quarter. </w:t>
      </w:r>
      <w:r>
        <w:rPr>
          <w:rFonts w:ascii="Arial" w:eastAsia="Calibri" w:hAnsi="Arial" w:cs="Times New Roman"/>
        </w:rPr>
        <w:t>T</w:t>
      </w:r>
      <w:r w:rsidRPr="004C7C93">
        <w:rPr>
          <w:rFonts w:ascii="Arial" w:eastAsia="Calibri" w:hAnsi="Arial" w:cs="Times New Roman"/>
        </w:rPr>
        <w:t xml:space="preserve">wo </w:t>
      </w:r>
      <w:r>
        <w:rPr>
          <w:rFonts w:ascii="Arial" w:eastAsia="Calibri" w:hAnsi="Arial" w:cs="Times New Roman"/>
        </w:rPr>
        <w:t>are</w:t>
      </w:r>
      <w:r w:rsidRPr="00826EB3">
        <w:rPr>
          <w:rFonts w:ascii="Arial" w:eastAsia="Calibri" w:hAnsi="Arial" w:cs="Times New Roman"/>
        </w:rPr>
        <w:t xml:space="preserve"> rated green and </w:t>
      </w:r>
      <w:r w:rsidRPr="004C7C93">
        <w:rPr>
          <w:rFonts w:ascii="Arial" w:eastAsia="Calibri" w:hAnsi="Arial" w:cs="Times New Roman"/>
        </w:rPr>
        <w:t xml:space="preserve">two </w:t>
      </w:r>
      <w:r>
        <w:rPr>
          <w:rFonts w:ascii="Arial" w:eastAsia="Calibri" w:hAnsi="Arial" w:cs="Times New Roman"/>
        </w:rPr>
        <w:t>are</w:t>
      </w:r>
      <w:r w:rsidRPr="00826EB3">
        <w:rPr>
          <w:rFonts w:ascii="Arial" w:eastAsia="Calibri" w:hAnsi="Arial" w:cs="Times New Roman"/>
        </w:rPr>
        <w:t xml:space="preserve"> rated red. A full list of the performance indicators is included in Appendix 1.</w:t>
      </w:r>
    </w:p>
    <w:p w14:paraId="1AD4B510" w14:textId="77777777" w:rsidR="00AE1F7D" w:rsidRDefault="007474A4" w:rsidP="00AE1F7D">
      <w:pPr>
        <w:pStyle w:val="ListParagraph"/>
        <w:spacing w:after="0" w:line="240" w:lineRule="auto"/>
        <w:ind w:left="360"/>
        <w:rPr>
          <w:rFonts w:ascii="Arial" w:eastAsia="Calibri" w:hAnsi="Arial" w:cs="Times New Roman"/>
        </w:rPr>
      </w:pPr>
    </w:p>
    <w:p w14:paraId="1AD4B511" w14:textId="77777777" w:rsidR="00AE1F7D" w:rsidRDefault="00907B19" w:rsidP="00AE1F7D">
      <w:pPr>
        <w:pStyle w:val="ListParagraph"/>
        <w:spacing w:after="0" w:line="240" w:lineRule="auto"/>
        <w:ind w:left="360"/>
        <w:rPr>
          <w:rFonts w:ascii="Arial" w:eastAsia="Calibri" w:hAnsi="Arial" w:cs="Times New Roman"/>
        </w:rPr>
      </w:pPr>
      <w:r w:rsidRPr="00826EB3">
        <w:rPr>
          <w:rFonts w:ascii="Arial" w:eastAsia="Calibri" w:hAnsi="Arial" w:cs="Times New Roman"/>
        </w:rPr>
        <w:t>The green rated measures are as below:</w:t>
      </w:r>
    </w:p>
    <w:p w14:paraId="1AD4B512" w14:textId="77777777" w:rsidR="00AE1F7D" w:rsidRPr="00E214C1" w:rsidRDefault="007474A4" w:rsidP="00AE1F7D">
      <w:pPr>
        <w:spacing w:after="0" w:line="240" w:lineRule="auto"/>
        <w:rPr>
          <w:rFonts w:ascii="Arial" w:eastAsia="Calibri" w:hAnsi="Arial" w:cs="Times New Roman"/>
        </w:rPr>
      </w:pPr>
    </w:p>
    <w:p w14:paraId="1AD4B513" w14:textId="77777777" w:rsidR="00AE1F7D" w:rsidRDefault="00907B19" w:rsidP="00AE1F7D">
      <w:pPr>
        <w:numPr>
          <w:ilvl w:val="0"/>
          <w:numId w:val="15"/>
        </w:numPr>
        <w:spacing w:after="0" w:line="240" w:lineRule="auto"/>
        <w:contextualSpacing/>
        <w:rPr>
          <w:rFonts w:ascii="Arial" w:eastAsia="Calibri" w:hAnsi="Arial" w:cs="Times New Roman"/>
        </w:rPr>
      </w:pPr>
      <w:r w:rsidRPr="00826EB3">
        <w:rPr>
          <w:rFonts w:ascii="Arial" w:eastAsia="Calibri" w:hAnsi="Arial" w:cs="Times New Roman"/>
        </w:rPr>
        <w:t>27,500 Trees will be planted in the borough this year (Cumulative)</w:t>
      </w:r>
      <w:r>
        <w:rPr>
          <w:rFonts w:ascii="Arial" w:eastAsia="Calibri" w:hAnsi="Arial" w:cs="Times New Roman"/>
        </w:rPr>
        <w:t>,</w:t>
      </w:r>
    </w:p>
    <w:p w14:paraId="1AD4B514" w14:textId="77777777" w:rsidR="00AE1F7D" w:rsidRDefault="00907B19" w:rsidP="00AE1F7D">
      <w:pPr>
        <w:numPr>
          <w:ilvl w:val="0"/>
          <w:numId w:val="15"/>
        </w:numPr>
        <w:spacing w:after="0" w:line="240" w:lineRule="auto"/>
        <w:contextualSpacing/>
        <w:rPr>
          <w:rFonts w:ascii="Arial" w:eastAsia="Calibri" w:hAnsi="Arial" w:cs="Times New Roman"/>
        </w:rPr>
      </w:pPr>
      <w:r w:rsidRPr="00F752B9">
        <w:rPr>
          <w:rFonts w:ascii="Arial" w:eastAsia="Calibri" w:hAnsi="Arial" w:cs="Times New Roman"/>
        </w:rPr>
        <w:t>Total number of young people’s physical activity courses delivered</w:t>
      </w:r>
      <w:r>
        <w:rPr>
          <w:rFonts w:ascii="Arial" w:eastAsia="Calibri" w:hAnsi="Arial" w:cs="Times New Roman"/>
        </w:rPr>
        <w:t>.</w:t>
      </w:r>
      <w:r w:rsidRPr="00F752B9">
        <w:rPr>
          <w:rFonts w:ascii="Arial" w:eastAsia="Calibri" w:hAnsi="Arial" w:cs="Times New Roman"/>
        </w:rPr>
        <w:t xml:space="preserve"> </w:t>
      </w:r>
    </w:p>
    <w:p w14:paraId="1AD4B515" w14:textId="77777777" w:rsidR="00AE1F7D" w:rsidRPr="00826EB3" w:rsidRDefault="007474A4" w:rsidP="00AE1F7D">
      <w:pPr>
        <w:spacing w:after="0" w:line="240" w:lineRule="auto"/>
        <w:rPr>
          <w:rFonts w:ascii="Arial" w:eastAsia="Calibri" w:hAnsi="Arial" w:cs="Times New Roman"/>
        </w:rPr>
      </w:pPr>
    </w:p>
    <w:p w14:paraId="1AD4B516" w14:textId="77777777" w:rsidR="00AE1F7D" w:rsidRDefault="00907B19" w:rsidP="00AE1F7D">
      <w:pPr>
        <w:pStyle w:val="ListParagraph"/>
        <w:spacing w:after="0" w:line="240" w:lineRule="auto"/>
        <w:ind w:left="360"/>
        <w:rPr>
          <w:rFonts w:ascii="Arial" w:eastAsia="Calibri" w:hAnsi="Arial" w:cs="Times New Roman"/>
        </w:rPr>
      </w:pPr>
      <w:r w:rsidRPr="00826EB3">
        <w:rPr>
          <w:rFonts w:ascii="Arial" w:eastAsia="Calibri" w:hAnsi="Arial" w:cs="Times New Roman"/>
        </w:rPr>
        <w:t>The red rated measure is as below:</w:t>
      </w:r>
    </w:p>
    <w:p w14:paraId="1AD4B517" w14:textId="77777777" w:rsidR="00AE1F7D" w:rsidRPr="00826EB3" w:rsidRDefault="007474A4" w:rsidP="00AE1F7D">
      <w:pPr>
        <w:pStyle w:val="ListParagraph"/>
        <w:spacing w:after="0" w:line="240" w:lineRule="auto"/>
        <w:ind w:left="360"/>
        <w:rPr>
          <w:rFonts w:ascii="Arial" w:eastAsia="Calibri" w:hAnsi="Arial" w:cs="Times New Roman"/>
        </w:rPr>
      </w:pPr>
    </w:p>
    <w:p w14:paraId="1AD4B518" w14:textId="77777777" w:rsidR="00AE1F7D" w:rsidRPr="002936BC" w:rsidRDefault="00907B19" w:rsidP="00AE1F7D">
      <w:pPr>
        <w:numPr>
          <w:ilvl w:val="0"/>
          <w:numId w:val="15"/>
        </w:numPr>
        <w:spacing w:after="0" w:line="240" w:lineRule="auto"/>
        <w:contextualSpacing/>
        <w:rPr>
          <w:rFonts w:ascii="Arial" w:eastAsia="Calibri" w:hAnsi="Arial" w:cs="Times New Roman"/>
        </w:rPr>
      </w:pPr>
      <w:r>
        <w:rPr>
          <w:rFonts w:eastAsia="Calibri" w:cs="Times New Roman"/>
        </w:rPr>
        <w:t>Number of affordable homes delivered,</w:t>
      </w:r>
    </w:p>
    <w:p w14:paraId="1AD4B519" w14:textId="77777777" w:rsidR="00AE1F7D" w:rsidRPr="002936BC" w:rsidRDefault="00907B19" w:rsidP="00AE1F7D">
      <w:pPr>
        <w:numPr>
          <w:ilvl w:val="0"/>
          <w:numId w:val="15"/>
        </w:numPr>
        <w:spacing w:after="0" w:line="240" w:lineRule="auto"/>
        <w:contextualSpacing/>
        <w:rPr>
          <w:rFonts w:ascii="Arial" w:eastAsia="Calibri" w:hAnsi="Arial" w:cs="Times New Roman"/>
        </w:rPr>
      </w:pPr>
      <w:r w:rsidRPr="002936BC">
        <w:rPr>
          <w:rFonts w:ascii="Arial" w:eastAsia="Calibri" w:hAnsi="Arial" w:cs="Times New Roman"/>
        </w:rPr>
        <w:t>The number of people who are prevented from becoming homeless is increased</w:t>
      </w:r>
      <w:r>
        <w:rPr>
          <w:rFonts w:ascii="Arial" w:eastAsia="Calibri" w:hAnsi="Arial" w:cs="Times New Roman"/>
        </w:rPr>
        <w:t>.</w:t>
      </w:r>
    </w:p>
    <w:p w14:paraId="1AD4B51A" w14:textId="77777777" w:rsidR="00AE1F7D" w:rsidRDefault="007474A4" w:rsidP="00AE1F7D">
      <w:pPr>
        <w:spacing w:after="0" w:line="240" w:lineRule="auto"/>
        <w:contextualSpacing/>
        <w:rPr>
          <w:rFonts w:ascii="Arial" w:eastAsia="Calibri" w:hAnsi="Arial" w:cs="Arial"/>
        </w:rPr>
      </w:pPr>
    </w:p>
    <w:p w14:paraId="1AD4B51B" w14:textId="77777777" w:rsidR="00AE1F7D" w:rsidRDefault="007474A4" w:rsidP="00AE1F7D">
      <w:pPr>
        <w:spacing w:after="0" w:line="240" w:lineRule="auto"/>
        <w:contextualSpacing/>
        <w:rPr>
          <w:rFonts w:ascii="Arial" w:eastAsia="Calibri" w:hAnsi="Arial" w:cs="Arial"/>
        </w:rPr>
      </w:pPr>
    </w:p>
    <w:p w14:paraId="1AD4B51C" w14:textId="77777777" w:rsidR="00AE1F7D" w:rsidRDefault="007474A4" w:rsidP="00AE1F7D">
      <w:pPr>
        <w:spacing w:after="0" w:line="240" w:lineRule="auto"/>
        <w:contextualSpacing/>
        <w:rPr>
          <w:rFonts w:ascii="Arial" w:eastAsia="Calibri" w:hAnsi="Arial" w:cs="Arial"/>
        </w:rPr>
      </w:pPr>
    </w:p>
    <w:p w14:paraId="1AD4B51D" w14:textId="77777777" w:rsidR="00AE1F7D" w:rsidRDefault="007474A4" w:rsidP="00AE1F7D">
      <w:pPr>
        <w:spacing w:after="0" w:line="240" w:lineRule="auto"/>
        <w:contextualSpacing/>
        <w:rPr>
          <w:rFonts w:ascii="Arial" w:eastAsia="Calibri" w:hAnsi="Arial" w:cs="Arial"/>
        </w:rPr>
      </w:pPr>
    </w:p>
    <w:p w14:paraId="1AD4B51E" w14:textId="77777777" w:rsidR="00AE1F7D" w:rsidRDefault="007474A4" w:rsidP="00AE1F7D">
      <w:pPr>
        <w:spacing w:after="0" w:line="240" w:lineRule="auto"/>
        <w:contextualSpacing/>
        <w:rPr>
          <w:rFonts w:ascii="Arial" w:eastAsia="Calibri" w:hAnsi="Arial" w:cs="Arial"/>
        </w:rPr>
      </w:pPr>
    </w:p>
    <w:p w14:paraId="1AD4B51F" w14:textId="77777777" w:rsidR="00AE1F7D" w:rsidRDefault="007474A4" w:rsidP="00AE1F7D">
      <w:pPr>
        <w:spacing w:after="0" w:line="240" w:lineRule="auto"/>
        <w:contextualSpacing/>
        <w:rPr>
          <w:rFonts w:ascii="Arial" w:eastAsia="Calibri" w:hAnsi="Arial" w:cs="Arial"/>
        </w:rPr>
      </w:pPr>
    </w:p>
    <w:p w14:paraId="1AD4B520" w14:textId="77777777" w:rsidR="00AE1F7D" w:rsidRDefault="007474A4" w:rsidP="00AE1F7D">
      <w:pPr>
        <w:spacing w:after="0" w:line="240" w:lineRule="auto"/>
        <w:contextualSpacing/>
        <w:rPr>
          <w:rFonts w:ascii="Arial" w:eastAsia="Calibri" w:hAnsi="Arial" w:cs="Arial"/>
        </w:rPr>
      </w:pPr>
    </w:p>
    <w:p w14:paraId="1AD4B521" w14:textId="77777777" w:rsidR="00AE1F7D" w:rsidRDefault="007474A4" w:rsidP="00AE1F7D">
      <w:pPr>
        <w:spacing w:after="0" w:line="240" w:lineRule="auto"/>
        <w:contextualSpacing/>
        <w:rPr>
          <w:rFonts w:ascii="Arial" w:eastAsia="Calibri" w:hAnsi="Arial" w:cs="Arial"/>
        </w:rPr>
      </w:pPr>
    </w:p>
    <w:p w14:paraId="1AD4B522" w14:textId="77777777" w:rsidR="00AE1F7D" w:rsidRDefault="007474A4" w:rsidP="00AE1F7D">
      <w:pPr>
        <w:spacing w:after="0" w:line="240" w:lineRule="auto"/>
        <w:contextualSpacing/>
        <w:rPr>
          <w:rFonts w:ascii="Arial" w:eastAsia="Calibri" w:hAnsi="Arial" w:cs="Arial"/>
        </w:rPr>
      </w:pPr>
    </w:p>
    <w:p w14:paraId="1AD4B523" w14:textId="77777777" w:rsidR="00AE1F7D" w:rsidRDefault="007474A4" w:rsidP="00AE1F7D">
      <w:pPr>
        <w:spacing w:after="0" w:line="240" w:lineRule="auto"/>
        <w:contextualSpacing/>
        <w:rPr>
          <w:rFonts w:ascii="Arial" w:eastAsia="Calibri" w:hAnsi="Arial" w:cs="Arial"/>
        </w:rPr>
      </w:pPr>
    </w:p>
    <w:p w14:paraId="1AD4B524" w14:textId="77777777" w:rsidR="00AE1F7D" w:rsidRDefault="007474A4" w:rsidP="00AE1F7D">
      <w:pPr>
        <w:spacing w:after="0" w:line="240" w:lineRule="auto"/>
        <w:contextualSpacing/>
        <w:rPr>
          <w:rFonts w:ascii="Arial" w:eastAsia="Calibri" w:hAnsi="Arial" w:cs="Arial"/>
        </w:rPr>
      </w:pPr>
    </w:p>
    <w:p w14:paraId="1AD4B525" w14:textId="77777777" w:rsidR="00AE1F7D" w:rsidRDefault="007474A4" w:rsidP="00AE1F7D">
      <w:pPr>
        <w:spacing w:after="0" w:line="240" w:lineRule="auto"/>
        <w:contextualSpacing/>
        <w:rPr>
          <w:rFonts w:ascii="Arial" w:eastAsia="Calibri" w:hAnsi="Arial" w:cs="Arial"/>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7"/>
        <w:gridCol w:w="1560"/>
        <w:gridCol w:w="1275"/>
        <w:gridCol w:w="1276"/>
        <w:gridCol w:w="1278"/>
      </w:tblGrid>
      <w:tr w:rsidR="00066063" w14:paraId="1AD4B52D" w14:textId="77777777" w:rsidTr="00AE1F7D">
        <w:trPr>
          <w:trHeight w:val="254"/>
        </w:trPr>
        <w:tc>
          <w:tcPr>
            <w:tcW w:w="2977" w:type="dxa"/>
            <w:shd w:val="clear" w:color="auto" w:fill="BFBFBF"/>
            <w:vAlign w:val="center"/>
          </w:tcPr>
          <w:p w14:paraId="1AD4B526" w14:textId="77777777" w:rsidR="00AE1F7D" w:rsidRPr="00826EB3" w:rsidRDefault="00907B19" w:rsidP="00AE1F7D">
            <w:pPr>
              <w:widowControl w:val="0"/>
              <w:spacing w:after="160" w:line="259" w:lineRule="auto"/>
              <w:contextualSpacing/>
              <w:outlineLvl w:val="0"/>
              <w:rPr>
                <w:b/>
                <w:bCs/>
              </w:rPr>
            </w:pPr>
            <w:r w:rsidRPr="00826EB3">
              <w:rPr>
                <w:b/>
                <w:bCs/>
              </w:rPr>
              <w:t>Key Performance Indicator</w:t>
            </w:r>
          </w:p>
        </w:tc>
        <w:tc>
          <w:tcPr>
            <w:tcW w:w="1417" w:type="dxa"/>
            <w:shd w:val="clear" w:color="auto" w:fill="BFBFBF"/>
            <w:vAlign w:val="center"/>
          </w:tcPr>
          <w:p w14:paraId="1AD4B527" w14:textId="77777777" w:rsidR="00AE1F7D" w:rsidRPr="00826EB3" w:rsidRDefault="00907B19" w:rsidP="00AE1F7D">
            <w:pPr>
              <w:widowControl w:val="0"/>
              <w:spacing w:after="0" w:line="257" w:lineRule="auto"/>
              <w:jc w:val="center"/>
              <w:outlineLvl w:val="0"/>
              <w:rPr>
                <w:b/>
                <w:bCs/>
              </w:rPr>
            </w:pPr>
            <w:r w:rsidRPr="00826EB3">
              <w:rPr>
                <w:b/>
                <w:bCs/>
              </w:rPr>
              <w:t>Target</w:t>
            </w:r>
          </w:p>
        </w:tc>
        <w:tc>
          <w:tcPr>
            <w:tcW w:w="1560" w:type="dxa"/>
            <w:shd w:val="clear" w:color="auto" w:fill="BFBFBF"/>
            <w:vAlign w:val="center"/>
          </w:tcPr>
          <w:p w14:paraId="1AD4B528" w14:textId="77777777" w:rsidR="00AE1F7D" w:rsidRPr="00826EB3" w:rsidRDefault="00907B19" w:rsidP="00AE1F7D">
            <w:pPr>
              <w:widowControl w:val="0"/>
              <w:spacing w:after="0" w:line="257" w:lineRule="auto"/>
              <w:jc w:val="center"/>
              <w:outlineLvl w:val="0"/>
              <w:rPr>
                <w:b/>
                <w:bCs/>
              </w:rPr>
            </w:pPr>
            <w:r w:rsidRPr="00826EB3">
              <w:rPr>
                <w:b/>
                <w:bCs/>
              </w:rPr>
              <w:t>Comparable Period</w:t>
            </w:r>
          </w:p>
        </w:tc>
        <w:tc>
          <w:tcPr>
            <w:tcW w:w="1275" w:type="dxa"/>
            <w:shd w:val="clear" w:color="auto" w:fill="BFBFBF"/>
            <w:vAlign w:val="center"/>
          </w:tcPr>
          <w:p w14:paraId="1AD4B529" w14:textId="77777777" w:rsidR="00AE1F7D" w:rsidRPr="00F12C84" w:rsidRDefault="00907B19" w:rsidP="00AE1F7D">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2</w:t>
            </w:r>
          </w:p>
          <w:p w14:paraId="1AD4B52A" w14:textId="77777777" w:rsidR="00AE1F7D" w:rsidRPr="00826EB3" w:rsidRDefault="00907B19" w:rsidP="00AE1F7D">
            <w:pPr>
              <w:widowControl w:val="0"/>
              <w:spacing w:after="0" w:line="257" w:lineRule="auto"/>
              <w:jc w:val="center"/>
              <w:outlineLvl w:val="0"/>
              <w:rPr>
                <w:b/>
                <w:bCs/>
              </w:rPr>
            </w:pPr>
            <w:r w:rsidRPr="00F12C84">
              <w:rPr>
                <w:rFonts w:eastAsia="Calibri" w:cs="Times New Roman"/>
                <w:b/>
                <w:bCs/>
              </w:rPr>
              <w:t>202</w:t>
            </w:r>
            <w:r>
              <w:rPr>
                <w:rFonts w:eastAsia="Calibri" w:cs="Times New Roman"/>
                <w:b/>
                <w:bCs/>
              </w:rPr>
              <w:t>1/22</w:t>
            </w:r>
          </w:p>
        </w:tc>
        <w:tc>
          <w:tcPr>
            <w:tcW w:w="1276" w:type="dxa"/>
            <w:shd w:val="clear" w:color="auto" w:fill="BFBFBF"/>
            <w:vAlign w:val="center"/>
          </w:tcPr>
          <w:p w14:paraId="1AD4B52B" w14:textId="77777777" w:rsidR="00AE1F7D" w:rsidRPr="00826EB3" w:rsidRDefault="00907B19" w:rsidP="00AE1F7D">
            <w:pPr>
              <w:widowControl w:val="0"/>
              <w:spacing w:after="0" w:line="257" w:lineRule="auto"/>
              <w:jc w:val="center"/>
              <w:outlineLvl w:val="0"/>
              <w:rPr>
                <w:b/>
                <w:bCs/>
              </w:rPr>
            </w:pPr>
            <w:r w:rsidRPr="00826EB3">
              <w:rPr>
                <w:b/>
                <w:bCs/>
              </w:rPr>
              <w:t xml:space="preserve">Symbol </w:t>
            </w:r>
          </w:p>
        </w:tc>
        <w:tc>
          <w:tcPr>
            <w:tcW w:w="1278" w:type="dxa"/>
            <w:shd w:val="clear" w:color="auto" w:fill="BFBFBF"/>
            <w:vAlign w:val="center"/>
          </w:tcPr>
          <w:p w14:paraId="1AD4B52C" w14:textId="77777777" w:rsidR="00AE1F7D" w:rsidRPr="00826EB3" w:rsidRDefault="00907B19" w:rsidP="00AE1F7D">
            <w:pPr>
              <w:widowControl w:val="0"/>
              <w:spacing w:after="0" w:line="257" w:lineRule="auto"/>
              <w:jc w:val="center"/>
              <w:outlineLvl w:val="0"/>
              <w:rPr>
                <w:b/>
                <w:bCs/>
              </w:rPr>
            </w:pPr>
            <w:r w:rsidRPr="00826EB3">
              <w:rPr>
                <w:b/>
                <w:bCs/>
              </w:rPr>
              <w:t>Trend</w:t>
            </w:r>
          </w:p>
        </w:tc>
      </w:tr>
      <w:tr w:rsidR="00066063" w14:paraId="1AD4B536" w14:textId="77777777" w:rsidTr="00AE1F7D">
        <w:trPr>
          <w:trHeight w:val="834"/>
        </w:trPr>
        <w:tc>
          <w:tcPr>
            <w:tcW w:w="2977" w:type="dxa"/>
            <w:shd w:val="clear" w:color="auto" w:fill="auto"/>
            <w:vAlign w:val="center"/>
          </w:tcPr>
          <w:p w14:paraId="1AD4B52E" w14:textId="77777777" w:rsidR="00AE1F7D" w:rsidRPr="00826EB3" w:rsidRDefault="00907B19" w:rsidP="00AE1F7D">
            <w:pPr>
              <w:spacing w:after="0" w:line="240" w:lineRule="auto"/>
            </w:pPr>
            <w:r>
              <w:rPr>
                <w:rFonts w:eastAsia="Calibri" w:cs="Times New Roman"/>
              </w:rPr>
              <w:t>Number of affordable homes delivered</w:t>
            </w:r>
          </w:p>
        </w:tc>
        <w:tc>
          <w:tcPr>
            <w:tcW w:w="1417" w:type="dxa"/>
            <w:shd w:val="clear" w:color="auto" w:fill="auto"/>
            <w:vAlign w:val="center"/>
          </w:tcPr>
          <w:p w14:paraId="1AD4B52F" w14:textId="77777777" w:rsidR="00AE1F7D" w:rsidRPr="008118E4" w:rsidRDefault="00907B19" w:rsidP="00AE1F7D">
            <w:pPr>
              <w:widowControl w:val="0"/>
              <w:spacing w:line="256" w:lineRule="auto"/>
              <w:contextualSpacing/>
              <w:jc w:val="center"/>
              <w:outlineLvl w:val="0"/>
              <w:rPr>
                <w:rFonts w:eastAsia="Calibri" w:cs="Times New Roman"/>
              </w:rPr>
            </w:pPr>
            <w:r w:rsidRPr="008118E4">
              <w:rPr>
                <w:rFonts w:eastAsia="Calibri" w:cs="Times New Roman"/>
              </w:rPr>
              <w:t>40</w:t>
            </w:r>
          </w:p>
          <w:p w14:paraId="1AD4B530" w14:textId="77777777" w:rsidR="00AE1F7D" w:rsidRPr="008118E4" w:rsidRDefault="00907B19" w:rsidP="00AE1F7D">
            <w:pPr>
              <w:widowControl w:val="0"/>
              <w:spacing w:after="0" w:line="240" w:lineRule="auto"/>
              <w:contextualSpacing/>
              <w:jc w:val="center"/>
              <w:outlineLvl w:val="0"/>
              <w:rPr>
                <w:rFonts w:eastAsia="Calibri" w:cs="Times New Roman"/>
                <w:sz w:val="20"/>
                <w:szCs w:val="20"/>
              </w:rPr>
            </w:pPr>
            <w:r w:rsidRPr="008118E4">
              <w:rPr>
                <w:rFonts w:eastAsia="Calibri" w:cs="Times New Roman"/>
                <w:sz w:val="20"/>
                <w:szCs w:val="20"/>
              </w:rPr>
              <w:t>(Annual – 80)</w:t>
            </w:r>
          </w:p>
        </w:tc>
        <w:tc>
          <w:tcPr>
            <w:tcW w:w="1560" w:type="dxa"/>
            <w:shd w:val="clear" w:color="auto" w:fill="auto"/>
            <w:vAlign w:val="center"/>
          </w:tcPr>
          <w:p w14:paraId="1AD4B531" w14:textId="77777777" w:rsidR="00AE1F7D" w:rsidRDefault="00907B19" w:rsidP="00AE1F7D">
            <w:pPr>
              <w:widowControl w:val="0"/>
              <w:spacing w:line="256" w:lineRule="auto"/>
              <w:contextualSpacing/>
              <w:jc w:val="center"/>
              <w:outlineLvl w:val="0"/>
              <w:rPr>
                <w:rFonts w:eastAsia="Calibri" w:cs="Times New Roman"/>
              </w:rPr>
            </w:pPr>
            <w:r>
              <w:rPr>
                <w:rFonts w:eastAsia="Calibri" w:cs="Times New Roman"/>
              </w:rPr>
              <w:t>12</w:t>
            </w:r>
          </w:p>
          <w:p w14:paraId="1AD4B532" w14:textId="77777777" w:rsidR="00AE1F7D" w:rsidRPr="00826EB3" w:rsidRDefault="00907B19" w:rsidP="00AE1F7D">
            <w:pPr>
              <w:widowControl w:val="0"/>
              <w:spacing w:after="0" w:line="240" w:lineRule="auto"/>
              <w:contextualSpacing/>
              <w:jc w:val="center"/>
              <w:outlineLvl w:val="0"/>
            </w:pPr>
            <w:r>
              <w:rPr>
                <w:rFonts w:eastAsia="Calibri" w:cs="Times New Roman"/>
              </w:rPr>
              <w:t>(Q2: 2020/21)</w:t>
            </w:r>
          </w:p>
        </w:tc>
        <w:tc>
          <w:tcPr>
            <w:tcW w:w="1275" w:type="dxa"/>
            <w:shd w:val="clear" w:color="auto" w:fill="auto"/>
            <w:vAlign w:val="center"/>
          </w:tcPr>
          <w:p w14:paraId="1AD4B533" w14:textId="77777777" w:rsidR="00AE1F7D" w:rsidRPr="00826EB3" w:rsidRDefault="00907B19" w:rsidP="00AE1F7D">
            <w:pPr>
              <w:widowControl w:val="0"/>
              <w:spacing w:after="0" w:line="259" w:lineRule="auto"/>
              <w:contextualSpacing/>
              <w:jc w:val="center"/>
              <w:outlineLvl w:val="0"/>
              <w:rPr>
                <w:b/>
                <w:bCs/>
              </w:rPr>
            </w:pPr>
            <w:r>
              <w:rPr>
                <w:rFonts w:eastAsia="Calibri" w:cs="Times New Roman"/>
                <w:b/>
                <w:bCs/>
              </w:rPr>
              <w:t>27</w:t>
            </w:r>
          </w:p>
        </w:tc>
        <w:tc>
          <w:tcPr>
            <w:tcW w:w="1276" w:type="dxa"/>
            <w:tcBorders>
              <w:top w:val="single" w:sz="8" w:space="0" w:color="auto"/>
              <w:left w:val="single" w:sz="8" w:space="0" w:color="auto"/>
              <w:bottom w:val="single" w:sz="8" w:space="0" w:color="auto"/>
              <w:right w:val="single" w:sz="8" w:space="0" w:color="auto"/>
            </w:tcBorders>
            <w:vAlign w:val="center"/>
          </w:tcPr>
          <w:p w14:paraId="1AD4B534" w14:textId="77777777" w:rsidR="00AE1F7D" w:rsidRPr="00826EB3" w:rsidRDefault="00907B19" w:rsidP="00AE1F7D">
            <w:pPr>
              <w:widowControl w:val="0"/>
              <w:spacing w:after="0" w:line="259" w:lineRule="auto"/>
              <w:contextualSpacing/>
              <w:jc w:val="center"/>
              <w:outlineLvl w:val="0"/>
            </w:pPr>
            <w:r w:rsidRPr="00F12C84">
              <w:rPr>
                <w:rFonts w:ascii="Wingdings 3" w:eastAsia="Arial" w:hAnsi="Wingdings 3" w:cs="Times New Roman"/>
                <w:color w:val="FF0000"/>
                <w:sz w:val="32"/>
              </w:rPr>
              <w:sym w:font="Wingdings 3" w:char="F070"/>
            </w:r>
          </w:p>
        </w:tc>
        <w:tc>
          <w:tcPr>
            <w:tcW w:w="1278" w:type="dxa"/>
            <w:tcBorders>
              <w:top w:val="single" w:sz="8" w:space="0" w:color="auto"/>
              <w:left w:val="single" w:sz="8" w:space="0" w:color="auto"/>
              <w:bottom w:val="single" w:sz="8" w:space="0" w:color="auto"/>
              <w:right w:val="single" w:sz="8" w:space="0" w:color="auto"/>
            </w:tcBorders>
            <w:vAlign w:val="center"/>
          </w:tcPr>
          <w:p w14:paraId="1AD4B535" w14:textId="77777777" w:rsidR="00AE1F7D" w:rsidRPr="00826EB3" w:rsidRDefault="00907B19" w:rsidP="00AE1F7D">
            <w:pPr>
              <w:widowControl w:val="0"/>
              <w:spacing w:after="0" w:line="259" w:lineRule="auto"/>
              <w:contextualSpacing/>
              <w:jc w:val="center"/>
              <w:outlineLvl w:val="0"/>
            </w:pPr>
            <w:r w:rsidRPr="00DF3C7B">
              <w:rPr>
                <w:rFonts w:eastAsia="Calibri" w:cs="Times New Roman"/>
                <w:color w:val="00B050"/>
                <w:sz w:val="20"/>
                <w:szCs w:val="20"/>
              </w:rPr>
              <w:t>Better than Q2 2020/21</w:t>
            </w:r>
            <w:r>
              <w:t xml:space="preserve"> </w:t>
            </w:r>
          </w:p>
        </w:tc>
      </w:tr>
      <w:tr w:rsidR="00066063" w14:paraId="1AD4B53C" w14:textId="77777777" w:rsidTr="00AE1F7D">
        <w:trPr>
          <w:trHeight w:val="132"/>
        </w:trPr>
        <w:tc>
          <w:tcPr>
            <w:tcW w:w="2977" w:type="dxa"/>
            <w:shd w:val="clear" w:color="auto" w:fill="auto"/>
          </w:tcPr>
          <w:p w14:paraId="1AD4B537" w14:textId="77777777" w:rsidR="00AE1F7D" w:rsidRPr="00826EB3" w:rsidRDefault="00907B19" w:rsidP="00AE1F7D">
            <w:pPr>
              <w:widowControl w:val="0"/>
              <w:spacing w:after="160" w:line="259" w:lineRule="auto"/>
              <w:contextualSpacing/>
              <w:outlineLvl w:val="0"/>
              <w:rPr>
                <w:b/>
                <w:bCs/>
              </w:rPr>
            </w:pPr>
            <w:r w:rsidRPr="00826EB3">
              <w:rPr>
                <w:rFonts w:ascii="Arial" w:eastAsia="Calibri" w:hAnsi="Arial" w:cs="Times New Roman"/>
                <w:b/>
                <w:bCs/>
              </w:rPr>
              <w:t>Commentary:</w:t>
            </w:r>
          </w:p>
        </w:tc>
        <w:tc>
          <w:tcPr>
            <w:tcW w:w="6806" w:type="dxa"/>
            <w:gridSpan w:val="5"/>
            <w:tcBorders>
              <w:top w:val="single" w:sz="4" w:space="0" w:color="auto"/>
              <w:left w:val="single" w:sz="4" w:space="0" w:color="auto"/>
              <w:bottom w:val="single" w:sz="4" w:space="0" w:color="auto"/>
              <w:right w:val="single" w:sz="4" w:space="0" w:color="auto"/>
            </w:tcBorders>
            <w:vAlign w:val="center"/>
          </w:tcPr>
          <w:p w14:paraId="1AD4B538" w14:textId="77777777" w:rsidR="00AE1F7D" w:rsidRDefault="00907B19" w:rsidP="00AE1F7D">
            <w:pPr>
              <w:spacing w:after="0" w:line="240" w:lineRule="auto"/>
              <w:rPr>
                <w:rFonts w:eastAsia="Calibri" w:cs="Times New Roman"/>
              </w:rPr>
            </w:pPr>
            <w:r w:rsidRPr="0085017B">
              <w:rPr>
                <w:rFonts w:eastAsia="Calibri" w:cs="Times New Roman"/>
              </w:rPr>
              <w:t>This indicator has been affected by economic pressures that are largely outside of the Council</w:t>
            </w:r>
            <w:r>
              <w:rPr>
                <w:rFonts w:eastAsia="Calibri" w:cs="Times New Roman"/>
              </w:rPr>
              <w:t>’</w:t>
            </w:r>
            <w:r w:rsidRPr="0085017B">
              <w:rPr>
                <w:rFonts w:eastAsia="Calibri" w:cs="Times New Roman"/>
              </w:rPr>
              <w:t>s control. The impact of the uncertainty from Brexit and Covid-19 has placed pressure on the supply chain and labour force.</w:t>
            </w:r>
            <w:r>
              <w:rPr>
                <w:rFonts w:eastAsia="Calibri" w:cs="Times New Roman"/>
              </w:rPr>
              <w:t xml:space="preserve">  Large housing sites have not come forward as quickly as anticipated, and some of the Government affordable housing initiatives have not been successful. </w:t>
            </w:r>
          </w:p>
          <w:p w14:paraId="1AD4B539" w14:textId="77777777" w:rsidR="00AE1F7D" w:rsidRDefault="007474A4" w:rsidP="00AE1F7D">
            <w:pPr>
              <w:spacing w:after="0" w:line="240" w:lineRule="auto"/>
              <w:rPr>
                <w:rFonts w:eastAsia="Calibri" w:cs="Times New Roman"/>
              </w:rPr>
            </w:pPr>
          </w:p>
          <w:p w14:paraId="1AD4B53A" w14:textId="77777777" w:rsidR="00AE1F7D" w:rsidRDefault="00907B19" w:rsidP="00AE1F7D">
            <w:pPr>
              <w:spacing w:after="0" w:line="240" w:lineRule="auto"/>
              <w:rPr>
                <w:rFonts w:eastAsia="Calibri" w:cs="Times New Roman"/>
              </w:rPr>
            </w:pPr>
            <w:r>
              <w:rPr>
                <w:rFonts w:eastAsia="Calibri" w:cs="Times New Roman"/>
              </w:rPr>
              <w:t>As the economy recovers from the pandemic and Brexit is negotiated it is expected that the impact on affordable homes from the lack of workforce availability and supply chain issues will ease. Additionally, the Council will aim to continue to pursue its own affordable home developments, utilising payments generated from other sites.</w:t>
            </w:r>
          </w:p>
          <w:p w14:paraId="1AD4B53B" w14:textId="77777777" w:rsidR="00AE1F7D" w:rsidRPr="00826EB3" w:rsidRDefault="007474A4" w:rsidP="00AE1F7D">
            <w:pPr>
              <w:spacing w:after="0" w:line="240" w:lineRule="auto"/>
            </w:pPr>
          </w:p>
        </w:tc>
      </w:tr>
    </w:tbl>
    <w:p w14:paraId="1AD4B53D" w14:textId="77777777" w:rsidR="00AE1F7D" w:rsidRDefault="007474A4" w:rsidP="00AE1F7D"/>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066063" w14:paraId="1AD4B545" w14:textId="77777777" w:rsidTr="00AE1F7D">
        <w:trPr>
          <w:trHeight w:val="254"/>
        </w:trPr>
        <w:tc>
          <w:tcPr>
            <w:tcW w:w="3233" w:type="dxa"/>
            <w:shd w:val="clear" w:color="auto" w:fill="BFBFBF"/>
            <w:vAlign w:val="center"/>
          </w:tcPr>
          <w:p w14:paraId="1AD4B53E" w14:textId="77777777" w:rsidR="00AE1F7D" w:rsidRPr="00826EB3" w:rsidRDefault="00907B19" w:rsidP="00AE1F7D">
            <w:pPr>
              <w:widowControl w:val="0"/>
              <w:spacing w:after="160" w:line="259" w:lineRule="auto"/>
              <w:contextualSpacing/>
              <w:outlineLvl w:val="0"/>
              <w:rPr>
                <w:b/>
                <w:bCs/>
              </w:rPr>
            </w:pPr>
            <w:r w:rsidRPr="00826EB3">
              <w:rPr>
                <w:b/>
                <w:bCs/>
              </w:rPr>
              <w:t>Key Performance Indicator</w:t>
            </w:r>
          </w:p>
        </w:tc>
        <w:tc>
          <w:tcPr>
            <w:tcW w:w="1161" w:type="dxa"/>
            <w:shd w:val="clear" w:color="auto" w:fill="BFBFBF"/>
            <w:vAlign w:val="center"/>
          </w:tcPr>
          <w:p w14:paraId="1AD4B53F" w14:textId="77777777" w:rsidR="00AE1F7D" w:rsidRPr="00826EB3" w:rsidRDefault="00907B19" w:rsidP="00AE1F7D">
            <w:pPr>
              <w:widowControl w:val="0"/>
              <w:spacing w:after="0" w:line="257" w:lineRule="auto"/>
              <w:jc w:val="center"/>
              <w:outlineLvl w:val="0"/>
              <w:rPr>
                <w:b/>
                <w:bCs/>
              </w:rPr>
            </w:pPr>
            <w:r w:rsidRPr="00826EB3">
              <w:rPr>
                <w:b/>
                <w:bCs/>
              </w:rPr>
              <w:t>Target</w:t>
            </w:r>
          </w:p>
        </w:tc>
        <w:tc>
          <w:tcPr>
            <w:tcW w:w="1560" w:type="dxa"/>
            <w:shd w:val="clear" w:color="auto" w:fill="BFBFBF"/>
            <w:vAlign w:val="center"/>
          </w:tcPr>
          <w:p w14:paraId="1AD4B540" w14:textId="77777777" w:rsidR="00AE1F7D" w:rsidRPr="00826EB3" w:rsidRDefault="00907B19" w:rsidP="00AE1F7D">
            <w:pPr>
              <w:widowControl w:val="0"/>
              <w:spacing w:after="0" w:line="257" w:lineRule="auto"/>
              <w:jc w:val="center"/>
              <w:outlineLvl w:val="0"/>
              <w:rPr>
                <w:b/>
                <w:bCs/>
              </w:rPr>
            </w:pPr>
            <w:r w:rsidRPr="00826EB3">
              <w:rPr>
                <w:b/>
                <w:bCs/>
              </w:rPr>
              <w:t>Comparable Period</w:t>
            </w:r>
          </w:p>
        </w:tc>
        <w:tc>
          <w:tcPr>
            <w:tcW w:w="1275" w:type="dxa"/>
            <w:shd w:val="clear" w:color="auto" w:fill="BFBFBF"/>
            <w:vAlign w:val="center"/>
          </w:tcPr>
          <w:p w14:paraId="1AD4B541" w14:textId="77777777" w:rsidR="00AE1F7D" w:rsidRPr="00F12C84" w:rsidRDefault="00907B19" w:rsidP="00AE1F7D">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2</w:t>
            </w:r>
          </w:p>
          <w:p w14:paraId="1AD4B542" w14:textId="77777777" w:rsidR="00AE1F7D" w:rsidRPr="00826EB3" w:rsidRDefault="00907B19" w:rsidP="00AE1F7D">
            <w:pPr>
              <w:widowControl w:val="0"/>
              <w:spacing w:after="0" w:line="257" w:lineRule="auto"/>
              <w:jc w:val="center"/>
              <w:outlineLvl w:val="0"/>
              <w:rPr>
                <w:b/>
                <w:bCs/>
              </w:rPr>
            </w:pPr>
            <w:r w:rsidRPr="00F12C84">
              <w:rPr>
                <w:rFonts w:eastAsia="Calibri" w:cs="Times New Roman"/>
                <w:b/>
                <w:bCs/>
              </w:rPr>
              <w:t>202</w:t>
            </w:r>
            <w:r>
              <w:rPr>
                <w:rFonts w:eastAsia="Calibri" w:cs="Times New Roman"/>
                <w:b/>
                <w:bCs/>
              </w:rPr>
              <w:t>1/22</w:t>
            </w:r>
          </w:p>
        </w:tc>
        <w:tc>
          <w:tcPr>
            <w:tcW w:w="1276" w:type="dxa"/>
            <w:shd w:val="clear" w:color="auto" w:fill="BFBFBF"/>
            <w:vAlign w:val="center"/>
          </w:tcPr>
          <w:p w14:paraId="1AD4B543" w14:textId="77777777" w:rsidR="00AE1F7D" w:rsidRPr="00826EB3" w:rsidRDefault="00907B19" w:rsidP="00AE1F7D">
            <w:pPr>
              <w:widowControl w:val="0"/>
              <w:spacing w:after="0" w:line="257" w:lineRule="auto"/>
              <w:jc w:val="center"/>
              <w:outlineLvl w:val="0"/>
              <w:rPr>
                <w:b/>
                <w:bCs/>
              </w:rPr>
            </w:pPr>
            <w:r w:rsidRPr="00826EB3">
              <w:rPr>
                <w:b/>
                <w:bCs/>
              </w:rPr>
              <w:t xml:space="preserve">Symbol </w:t>
            </w:r>
          </w:p>
        </w:tc>
        <w:tc>
          <w:tcPr>
            <w:tcW w:w="1278" w:type="dxa"/>
            <w:shd w:val="clear" w:color="auto" w:fill="BFBFBF"/>
            <w:vAlign w:val="center"/>
          </w:tcPr>
          <w:p w14:paraId="1AD4B544" w14:textId="77777777" w:rsidR="00AE1F7D" w:rsidRPr="00826EB3" w:rsidRDefault="00907B19" w:rsidP="00AE1F7D">
            <w:pPr>
              <w:widowControl w:val="0"/>
              <w:spacing w:after="0" w:line="257" w:lineRule="auto"/>
              <w:jc w:val="center"/>
              <w:outlineLvl w:val="0"/>
              <w:rPr>
                <w:b/>
                <w:bCs/>
              </w:rPr>
            </w:pPr>
            <w:r w:rsidRPr="00826EB3">
              <w:rPr>
                <w:b/>
                <w:bCs/>
              </w:rPr>
              <w:t>Trend</w:t>
            </w:r>
          </w:p>
        </w:tc>
      </w:tr>
      <w:tr w:rsidR="00066063" w14:paraId="1AD4B54E" w14:textId="77777777" w:rsidTr="00AE1F7D">
        <w:trPr>
          <w:trHeight w:val="834"/>
        </w:trPr>
        <w:tc>
          <w:tcPr>
            <w:tcW w:w="3233" w:type="dxa"/>
            <w:shd w:val="clear" w:color="auto" w:fill="auto"/>
            <w:vAlign w:val="center"/>
          </w:tcPr>
          <w:p w14:paraId="1AD4B546" w14:textId="77777777" w:rsidR="00AE1F7D" w:rsidRPr="00826EB3" w:rsidRDefault="00907B19" w:rsidP="00AE1F7D">
            <w:pPr>
              <w:spacing w:after="0" w:line="240" w:lineRule="auto"/>
            </w:pPr>
            <w:r w:rsidRPr="002936BC">
              <w:t>The number of people who are prevented from becoming homeless is increased</w:t>
            </w:r>
          </w:p>
        </w:tc>
        <w:tc>
          <w:tcPr>
            <w:tcW w:w="1161" w:type="dxa"/>
            <w:shd w:val="clear" w:color="auto" w:fill="auto"/>
            <w:vAlign w:val="center"/>
          </w:tcPr>
          <w:p w14:paraId="1AD4B547" w14:textId="77777777" w:rsidR="00AE1F7D" w:rsidRDefault="00907B19" w:rsidP="00AE1F7D">
            <w:pPr>
              <w:widowControl w:val="0"/>
              <w:spacing w:line="256" w:lineRule="auto"/>
              <w:contextualSpacing/>
              <w:jc w:val="center"/>
              <w:outlineLvl w:val="0"/>
              <w:rPr>
                <w:rFonts w:eastAsia="Calibri" w:cs="Times New Roman"/>
              </w:rPr>
            </w:pPr>
            <w:r>
              <w:rPr>
                <w:rFonts w:eastAsia="Calibri" w:cs="Times New Roman"/>
              </w:rPr>
              <w:t xml:space="preserve">90 </w:t>
            </w:r>
          </w:p>
          <w:p w14:paraId="1AD4B548" w14:textId="77777777" w:rsidR="00AE1F7D" w:rsidRPr="00826EB3" w:rsidRDefault="00907B19" w:rsidP="00AE1F7D">
            <w:pPr>
              <w:widowControl w:val="0"/>
              <w:spacing w:line="256" w:lineRule="auto"/>
              <w:contextualSpacing/>
              <w:jc w:val="center"/>
              <w:outlineLvl w:val="0"/>
            </w:pPr>
            <w:r w:rsidRPr="00826EB3">
              <w:rPr>
                <w:rFonts w:eastAsia="Calibri" w:cs="Times New Roman"/>
                <w:sz w:val="20"/>
                <w:szCs w:val="20"/>
              </w:rPr>
              <w:t>(Q</w:t>
            </w:r>
            <w:r>
              <w:rPr>
                <w:rFonts w:eastAsia="Calibri" w:cs="Times New Roman"/>
                <w:sz w:val="20"/>
                <w:szCs w:val="20"/>
              </w:rPr>
              <w:t>2</w:t>
            </w:r>
            <w:r w:rsidRPr="00826EB3">
              <w:rPr>
                <w:rFonts w:eastAsia="Calibri" w:cs="Times New Roman"/>
                <w:sz w:val="20"/>
                <w:szCs w:val="20"/>
              </w:rPr>
              <w:t>:</w:t>
            </w:r>
            <w:r>
              <w:rPr>
                <w:rFonts w:eastAsia="Calibri" w:cs="Times New Roman"/>
                <w:sz w:val="20"/>
                <w:szCs w:val="20"/>
              </w:rPr>
              <w:t>2</w:t>
            </w:r>
            <w:r w:rsidRPr="00826EB3">
              <w:rPr>
                <w:rFonts w:eastAsia="Calibri" w:cs="Times New Roman"/>
                <w:sz w:val="20"/>
                <w:szCs w:val="20"/>
              </w:rPr>
              <w:t>020/21)</w:t>
            </w:r>
          </w:p>
        </w:tc>
        <w:tc>
          <w:tcPr>
            <w:tcW w:w="1560" w:type="dxa"/>
            <w:vAlign w:val="center"/>
          </w:tcPr>
          <w:p w14:paraId="1AD4B549" w14:textId="77777777" w:rsidR="00AE1F7D" w:rsidRDefault="00907B19" w:rsidP="00AE1F7D">
            <w:pPr>
              <w:widowControl w:val="0"/>
              <w:spacing w:line="256" w:lineRule="auto"/>
              <w:contextualSpacing/>
              <w:jc w:val="center"/>
              <w:outlineLvl w:val="0"/>
              <w:rPr>
                <w:rFonts w:eastAsia="Calibri" w:cs="Times New Roman"/>
                <w:b/>
                <w:bCs/>
              </w:rPr>
            </w:pPr>
            <w:r>
              <w:rPr>
                <w:rFonts w:eastAsia="Calibri" w:cs="Times New Roman"/>
                <w:b/>
                <w:bCs/>
              </w:rPr>
              <w:t>83</w:t>
            </w:r>
          </w:p>
          <w:p w14:paraId="1AD4B54A" w14:textId="77777777" w:rsidR="00AE1F7D" w:rsidRPr="00826EB3" w:rsidRDefault="00907B19" w:rsidP="00AE1F7D">
            <w:pPr>
              <w:widowControl w:val="0"/>
              <w:spacing w:after="0" w:line="240" w:lineRule="auto"/>
              <w:contextualSpacing/>
              <w:jc w:val="center"/>
              <w:outlineLvl w:val="0"/>
            </w:pPr>
            <w:r>
              <w:rPr>
                <w:rFonts w:eastAsia="Arial" w:cs="Times New Roman"/>
                <w:lang w:val="en-US"/>
              </w:rPr>
              <w:t>(Q1:2021/22)</w:t>
            </w:r>
          </w:p>
        </w:tc>
        <w:tc>
          <w:tcPr>
            <w:tcW w:w="1275" w:type="dxa"/>
            <w:shd w:val="clear" w:color="auto" w:fill="auto"/>
            <w:vAlign w:val="center"/>
          </w:tcPr>
          <w:p w14:paraId="1AD4B54B" w14:textId="77777777" w:rsidR="00AE1F7D" w:rsidRPr="00826EB3" w:rsidRDefault="00907B19" w:rsidP="00AE1F7D">
            <w:pPr>
              <w:widowControl w:val="0"/>
              <w:spacing w:after="0" w:line="259" w:lineRule="auto"/>
              <w:contextualSpacing/>
              <w:jc w:val="center"/>
              <w:outlineLvl w:val="0"/>
              <w:rPr>
                <w:b/>
                <w:bCs/>
              </w:rPr>
            </w:pPr>
            <w:r w:rsidRPr="00FC7395">
              <w:rPr>
                <w:rFonts w:eastAsia="Calibri" w:cs="Times New Roman"/>
                <w:b/>
                <w:bCs/>
              </w:rPr>
              <w:t>75</w:t>
            </w:r>
          </w:p>
        </w:tc>
        <w:tc>
          <w:tcPr>
            <w:tcW w:w="1276" w:type="dxa"/>
            <w:tcBorders>
              <w:top w:val="single" w:sz="8" w:space="0" w:color="auto"/>
              <w:left w:val="single" w:sz="8" w:space="0" w:color="auto"/>
              <w:bottom w:val="single" w:sz="8" w:space="0" w:color="auto"/>
              <w:right w:val="single" w:sz="8" w:space="0" w:color="auto"/>
            </w:tcBorders>
            <w:vAlign w:val="center"/>
          </w:tcPr>
          <w:p w14:paraId="1AD4B54C" w14:textId="77777777" w:rsidR="00AE1F7D" w:rsidRPr="00826EB3" w:rsidRDefault="00907B19" w:rsidP="00AE1F7D">
            <w:pPr>
              <w:widowControl w:val="0"/>
              <w:spacing w:after="0" w:line="259" w:lineRule="auto"/>
              <w:contextualSpacing/>
              <w:jc w:val="center"/>
              <w:outlineLvl w:val="0"/>
            </w:pPr>
            <w:r w:rsidRPr="00F12C84">
              <w:rPr>
                <w:rFonts w:ascii="Wingdings 3" w:eastAsia="Arial" w:hAnsi="Wingdings 3" w:cs="Times New Roman"/>
                <w:color w:val="FF0000"/>
                <w:sz w:val="32"/>
              </w:rPr>
              <w:sym w:font="Wingdings 3" w:char="F070"/>
            </w:r>
          </w:p>
        </w:tc>
        <w:tc>
          <w:tcPr>
            <w:tcW w:w="1278" w:type="dxa"/>
            <w:tcBorders>
              <w:top w:val="single" w:sz="8" w:space="0" w:color="auto"/>
              <w:left w:val="single" w:sz="8" w:space="0" w:color="auto"/>
              <w:bottom w:val="single" w:sz="8" w:space="0" w:color="auto"/>
              <w:right w:val="single" w:sz="8" w:space="0" w:color="auto"/>
            </w:tcBorders>
            <w:vAlign w:val="center"/>
          </w:tcPr>
          <w:p w14:paraId="1AD4B54D" w14:textId="77777777" w:rsidR="00AE1F7D" w:rsidRPr="00826EB3" w:rsidRDefault="00907B19" w:rsidP="00AE1F7D">
            <w:pPr>
              <w:widowControl w:val="0"/>
              <w:spacing w:after="0" w:line="259" w:lineRule="auto"/>
              <w:contextualSpacing/>
              <w:jc w:val="center"/>
              <w:outlineLvl w:val="0"/>
            </w:pPr>
            <w:r w:rsidRPr="00381FB9">
              <w:rPr>
                <w:rFonts w:eastAsia="Calibri" w:cs="Times New Roman"/>
                <w:color w:val="FF0000"/>
                <w:sz w:val="20"/>
                <w:szCs w:val="20"/>
              </w:rPr>
              <w:t>Worse than Q2 2020/21</w:t>
            </w:r>
          </w:p>
        </w:tc>
      </w:tr>
      <w:tr w:rsidR="00066063" w14:paraId="1AD4B554" w14:textId="77777777" w:rsidTr="00AE1F7D">
        <w:trPr>
          <w:trHeight w:val="132"/>
        </w:trPr>
        <w:tc>
          <w:tcPr>
            <w:tcW w:w="3233" w:type="dxa"/>
            <w:shd w:val="clear" w:color="auto" w:fill="auto"/>
          </w:tcPr>
          <w:p w14:paraId="1AD4B54F" w14:textId="77777777" w:rsidR="00AE1F7D" w:rsidRPr="00826EB3" w:rsidRDefault="00907B19" w:rsidP="00AE1F7D">
            <w:pPr>
              <w:widowControl w:val="0"/>
              <w:spacing w:after="160" w:line="259" w:lineRule="auto"/>
              <w:contextualSpacing/>
              <w:outlineLvl w:val="0"/>
              <w:rPr>
                <w:b/>
                <w:bCs/>
              </w:rPr>
            </w:pPr>
            <w:r w:rsidRPr="00826EB3">
              <w:rPr>
                <w:rFonts w:ascii="Arial" w:eastAsia="Calibri" w:hAnsi="Arial" w:cs="Times New Roman"/>
                <w:b/>
                <w:bCs/>
              </w:rPr>
              <w:t>Commentary:</w:t>
            </w:r>
          </w:p>
        </w:tc>
        <w:tc>
          <w:tcPr>
            <w:tcW w:w="6550" w:type="dxa"/>
            <w:gridSpan w:val="5"/>
            <w:tcBorders>
              <w:top w:val="single" w:sz="4" w:space="0" w:color="auto"/>
              <w:left w:val="single" w:sz="4" w:space="0" w:color="auto"/>
              <w:bottom w:val="single" w:sz="4" w:space="0" w:color="auto"/>
              <w:right w:val="single" w:sz="4" w:space="0" w:color="auto"/>
            </w:tcBorders>
            <w:vAlign w:val="center"/>
          </w:tcPr>
          <w:p w14:paraId="1AD4B550" w14:textId="77777777" w:rsidR="00AE1F7D" w:rsidRPr="00066C1A" w:rsidRDefault="00907B19" w:rsidP="00AE1F7D">
            <w:pPr>
              <w:spacing w:after="0" w:line="240" w:lineRule="auto"/>
              <w:rPr>
                <w:rFonts w:eastAsia="Calibri" w:cs="Times New Roman"/>
              </w:rPr>
            </w:pPr>
            <w:r w:rsidRPr="00066C1A">
              <w:rPr>
                <w:rFonts w:eastAsia="Calibri" w:cs="Times New Roman"/>
              </w:rPr>
              <w:t xml:space="preserve">There has been a decrease in the number of people prevented from becoming homelessness this quarter when compared to the same time last year.  This is due to an increase in complex cases, where those presenting have complex or multiple needs. Examples of complex needs include substance misuse, mental and physical health issues, tenancy failures and those leaving custody. These have resulted in creating barriers to accessing and sustaining tenancies. In addition, the waiting times for social housing in South Ribble has been impacted and increased by 11% in the past 3 months. </w:t>
            </w:r>
          </w:p>
          <w:p w14:paraId="1AD4B551" w14:textId="77777777" w:rsidR="00AE1F7D" w:rsidRDefault="007474A4" w:rsidP="00AE1F7D">
            <w:pPr>
              <w:spacing w:after="0" w:line="240" w:lineRule="auto"/>
            </w:pPr>
          </w:p>
          <w:p w14:paraId="1AD4B552" w14:textId="77777777" w:rsidR="00AE1F7D" w:rsidRDefault="00907B19" w:rsidP="00AE1F7D">
            <w:pPr>
              <w:spacing w:after="0" w:line="240" w:lineRule="auto"/>
            </w:pPr>
            <w:r>
              <w:t xml:space="preserve">To support the service, additional capacity has been provided with the prevention of rough sleepers’ co-ordinator who is now in post. The prevention of rough sleepers’ co-ordinator in collaboration partner agencies is working directly with clients who have multiple complex needs to establish pathways into accommodation and provide financial support. This additional resource should have a positive impact on the number of successful interventions. </w:t>
            </w:r>
          </w:p>
          <w:p w14:paraId="1AD4B553" w14:textId="77777777" w:rsidR="00AE1F7D" w:rsidRPr="00826EB3" w:rsidRDefault="007474A4" w:rsidP="00AE1F7D">
            <w:pPr>
              <w:spacing w:after="0" w:line="240" w:lineRule="auto"/>
            </w:pPr>
          </w:p>
        </w:tc>
      </w:tr>
    </w:tbl>
    <w:p w14:paraId="1AD4B555" w14:textId="77777777" w:rsidR="00AE1F7D" w:rsidRDefault="007474A4" w:rsidP="00AE1F7D">
      <w:pPr>
        <w:pStyle w:val="Heading2"/>
        <w:rPr>
          <w:rFonts w:asciiTheme="majorHAnsi" w:hAnsiTheme="majorHAnsi" w:cstheme="majorHAnsi"/>
          <w:sz w:val="22"/>
          <w:szCs w:val="22"/>
        </w:rPr>
      </w:pPr>
    </w:p>
    <w:p w14:paraId="1AD4B556" w14:textId="77777777" w:rsidR="00AE1F7D" w:rsidRDefault="007474A4" w:rsidP="00AE1F7D">
      <w:pPr>
        <w:pStyle w:val="Heading2"/>
        <w:rPr>
          <w:rFonts w:asciiTheme="majorHAnsi" w:hAnsiTheme="majorHAnsi" w:cstheme="majorHAnsi"/>
          <w:sz w:val="22"/>
          <w:szCs w:val="22"/>
        </w:rPr>
      </w:pPr>
    </w:p>
    <w:p w14:paraId="1AD4B557" w14:textId="77777777" w:rsidR="00AE1F7D" w:rsidRDefault="007474A4" w:rsidP="00AE1F7D">
      <w:pPr>
        <w:pStyle w:val="Heading2"/>
        <w:rPr>
          <w:rFonts w:asciiTheme="majorHAnsi" w:hAnsiTheme="majorHAnsi" w:cstheme="majorHAnsi"/>
          <w:sz w:val="22"/>
          <w:szCs w:val="22"/>
        </w:rPr>
      </w:pPr>
    </w:p>
    <w:p w14:paraId="1AD4B558" w14:textId="77777777" w:rsidR="00AE1F7D" w:rsidRDefault="00907B19" w:rsidP="00AE1F7D">
      <w:pPr>
        <w:pStyle w:val="Heading2"/>
        <w:rPr>
          <w:rFonts w:asciiTheme="majorHAnsi" w:hAnsiTheme="majorHAnsi" w:cstheme="majorHAnsi"/>
          <w:sz w:val="22"/>
          <w:szCs w:val="22"/>
        </w:rPr>
      </w:pPr>
      <w:r w:rsidRPr="00201F8E">
        <w:rPr>
          <w:rFonts w:asciiTheme="majorHAnsi" w:hAnsiTheme="majorHAnsi" w:cstheme="majorHAnsi"/>
          <w:sz w:val="22"/>
          <w:szCs w:val="22"/>
        </w:rPr>
        <w:lastRenderedPageBreak/>
        <w:t xml:space="preserve">Key </w:t>
      </w:r>
      <w:r>
        <w:rPr>
          <w:rFonts w:asciiTheme="majorHAnsi" w:hAnsiTheme="majorHAnsi" w:cstheme="majorHAnsi"/>
          <w:sz w:val="22"/>
          <w:szCs w:val="22"/>
        </w:rPr>
        <w:t>o</w:t>
      </w:r>
      <w:r w:rsidRPr="00201F8E">
        <w:rPr>
          <w:rFonts w:asciiTheme="majorHAnsi" w:hAnsiTheme="majorHAnsi" w:cstheme="majorHAnsi"/>
          <w:sz w:val="22"/>
          <w:szCs w:val="22"/>
        </w:rPr>
        <w:t xml:space="preserve">rganisational performance measures </w:t>
      </w:r>
    </w:p>
    <w:p w14:paraId="1AD4B559" w14:textId="77777777" w:rsidR="00AE1F7D" w:rsidRDefault="00907B19" w:rsidP="00AE1F7D">
      <w:pPr>
        <w:pStyle w:val="ListParagraph"/>
        <w:numPr>
          <w:ilvl w:val="0"/>
          <w:numId w:val="8"/>
        </w:numPr>
        <w:spacing w:after="0" w:line="240" w:lineRule="auto"/>
        <w:rPr>
          <w:rFonts w:ascii="Arial" w:eastAsia="Calibri" w:hAnsi="Arial" w:cs="Times New Roman"/>
        </w:rPr>
      </w:pPr>
      <w:r w:rsidRPr="00201F8E">
        <w:rPr>
          <w:rFonts w:ascii="Arial" w:eastAsia="Calibri" w:hAnsi="Arial" w:cs="Times New Roman"/>
        </w:rPr>
        <w:t xml:space="preserve">At the end of quarter </w:t>
      </w:r>
      <w:r>
        <w:rPr>
          <w:rFonts w:ascii="Arial" w:eastAsia="Calibri" w:hAnsi="Arial" w:cs="Times New Roman"/>
        </w:rPr>
        <w:t>two</w:t>
      </w:r>
      <w:r w:rsidRPr="00201F8E">
        <w:rPr>
          <w:rFonts w:ascii="Arial" w:eastAsia="Calibri" w:hAnsi="Arial" w:cs="Times New Roman"/>
        </w:rPr>
        <w:t xml:space="preserve">, there are </w:t>
      </w:r>
      <w:r>
        <w:rPr>
          <w:rFonts w:ascii="Arial" w:eastAsia="Calibri" w:hAnsi="Arial" w:cs="Times New Roman"/>
        </w:rPr>
        <w:t>nine</w:t>
      </w:r>
      <w:r w:rsidRPr="00201F8E">
        <w:rPr>
          <w:rFonts w:ascii="Arial" w:eastAsia="Calibri" w:hAnsi="Arial" w:cs="Times New Roman"/>
        </w:rPr>
        <w:t xml:space="preserve"> key organisational performance measures due to be reported. A full list of the performance indicators is included in Appendix 2. </w:t>
      </w:r>
    </w:p>
    <w:p w14:paraId="1AD4B55A" w14:textId="77777777" w:rsidR="00AE1F7D" w:rsidRDefault="007474A4" w:rsidP="00AE1F7D">
      <w:pPr>
        <w:pStyle w:val="ListParagraph"/>
        <w:spacing w:after="0" w:line="240" w:lineRule="auto"/>
        <w:ind w:left="360"/>
        <w:rPr>
          <w:rFonts w:ascii="Arial" w:eastAsia="Calibri" w:hAnsi="Arial" w:cs="Times New Roman"/>
        </w:rPr>
      </w:pPr>
    </w:p>
    <w:p w14:paraId="1AD4B55B" w14:textId="77777777" w:rsidR="00AE1F7D" w:rsidRDefault="00907B19" w:rsidP="00AE1F7D">
      <w:pPr>
        <w:pStyle w:val="ListParagraph"/>
        <w:numPr>
          <w:ilvl w:val="0"/>
          <w:numId w:val="8"/>
        </w:numPr>
        <w:spacing w:after="0" w:line="240" w:lineRule="auto"/>
        <w:rPr>
          <w:rFonts w:ascii="Arial" w:eastAsia="Calibri" w:hAnsi="Arial" w:cs="Times New Roman"/>
        </w:rPr>
      </w:pPr>
      <w:r w:rsidRPr="00D312F8">
        <w:rPr>
          <w:rFonts w:ascii="Arial" w:eastAsia="Calibri" w:hAnsi="Arial" w:cs="Times New Roman"/>
        </w:rPr>
        <w:t xml:space="preserve">Of the </w:t>
      </w:r>
      <w:r>
        <w:rPr>
          <w:rFonts w:ascii="Arial" w:eastAsia="Calibri" w:hAnsi="Arial" w:cs="Times New Roman"/>
        </w:rPr>
        <w:t>nine</w:t>
      </w:r>
      <w:r w:rsidRPr="00D312F8">
        <w:rPr>
          <w:rFonts w:ascii="Arial" w:eastAsia="Calibri" w:hAnsi="Arial" w:cs="Times New Roman"/>
        </w:rPr>
        <w:t xml:space="preserve"> key organisational performance measures, </w:t>
      </w:r>
      <w:r>
        <w:rPr>
          <w:rFonts w:ascii="Arial" w:eastAsia="Calibri" w:hAnsi="Arial" w:cs="Times New Roman"/>
        </w:rPr>
        <w:t>six</w:t>
      </w:r>
      <w:r w:rsidRPr="00D312F8">
        <w:rPr>
          <w:rFonts w:ascii="Arial" w:eastAsia="Calibri" w:hAnsi="Arial" w:cs="Times New Roman"/>
        </w:rPr>
        <w:t xml:space="preserve"> are rated as green: </w:t>
      </w:r>
    </w:p>
    <w:p w14:paraId="1AD4B55C" w14:textId="77777777" w:rsidR="00AE1F7D" w:rsidRPr="00DF3490" w:rsidRDefault="00907B19" w:rsidP="00AE1F7D">
      <w:pPr>
        <w:numPr>
          <w:ilvl w:val="0"/>
          <w:numId w:val="15"/>
        </w:numPr>
        <w:spacing w:after="0" w:line="240" w:lineRule="auto"/>
        <w:rPr>
          <w:rFonts w:ascii="Arial" w:eastAsia="Calibri" w:hAnsi="Arial" w:cs="Times New Roman"/>
        </w:rPr>
      </w:pPr>
      <w:r w:rsidRPr="00201F8E">
        <w:rPr>
          <w:rFonts w:eastAsia="Calibri" w:cs="Times New Roman"/>
        </w:rPr>
        <w:t>Number of households in temporary accommodation at the end of the quarter</w:t>
      </w:r>
      <w:r>
        <w:rPr>
          <w:rFonts w:eastAsia="Calibri" w:cs="Times New Roman"/>
        </w:rPr>
        <w:t>,</w:t>
      </w:r>
      <w:r w:rsidRPr="00201F8E">
        <w:rPr>
          <w:rFonts w:eastAsia="Calibri" w:cs="Times New Roman"/>
        </w:rPr>
        <w:t xml:space="preserve">  </w:t>
      </w:r>
    </w:p>
    <w:p w14:paraId="1AD4B55D" w14:textId="77777777" w:rsidR="00AE1F7D" w:rsidRPr="00FD69F7" w:rsidRDefault="00907B19" w:rsidP="00AE1F7D">
      <w:pPr>
        <w:pStyle w:val="ListParagraph"/>
        <w:numPr>
          <w:ilvl w:val="0"/>
          <w:numId w:val="15"/>
        </w:numPr>
        <w:spacing w:after="0" w:line="240" w:lineRule="auto"/>
        <w:rPr>
          <w:rFonts w:ascii="Arial" w:eastAsia="Calibri" w:hAnsi="Arial" w:cs="Times New Roman"/>
        </w:rPr>
      </w:pPr>
      <w:r w:rsidRPr="00F12C84">
        <w:rPr>
          <w:rFonts w:eastAsia="Calibri" w:cs="Times New Roman"/>
        </w:rPr>
        <w:t>% planning applications decided within 13 weeks (major applications)</w:t>
      </w:r>
      <w:r>
        <w:rPr>
          <w:rFonts w:eastAsia="Calibri" w:cs="Times New Roman"/>
        </w:rPr>
        <w:t>,</w:t>
      </w:r>
    </w:p>
    <w:p w14:paraId="1AD4B55E" w14:textId="77777777" w:rsidR="00AE1F7D" w:rsidRDefault="00907B19" w:rsidP="00AE1F7D">
      <w:pPr>
        <w:pStyle w:val="ListParagraph"/>
        <w:numPr>
          <w:ilvl w:val="0"/>
          <w:numId w:val="15"/>
        </w:numPr>
        <w:spacing w:after="0" w:line="240" w:lineRule="auto"/>
        <w:rPr>
          <w:rFonts w:ascii="Arial" w:eastAsia="Calibri" w:hAnsi="Arial" w:cs="Times New Roman"/>
        </w:rPr>
      </w:pPr>
      <w:r w:rsidRPr="007321BA">
        <w:rPr>
          <w:rFonts w:ascii="Arial" w:eastAsia="Calibri" w:hAnsi="Arial" w:cs="Times New Roman"/>
        </w:rPr>
        <w:t>The average number of working days from Disabled Facilities grant referral received from LCC to application approved</w:t>
      </w:r>
      <w:r>
        <w:rPr>
          <w:rFonts w:ascii="Arial" w:eastAsia="Calibri" w:hAnsi="Arial" w:cs="Times New Roman"/>
        </w:rPr>
        <w:t>,</w:t>
      </w:r>
    </w:p>
    <w:p w14:paraId="1AD4B55F" w14:textId="77777777" w:rsidR="00AE1F7D" w:rsidRPr="005B6F9D" w:rsidRDefault="00907B19" w:rsidP="00AE1F7D">
      <w:pPr>
        <w:pStyle w:val="ListParagraph"/>
        <w:numPr>
          <w:ilvl w:val="0"/>
          <w:numId w:val="15"/>
        </w:numPr>
        <w:spacing w:after="0" w:line="240" w:lineRule="auto"/>
        <w:rPr>
          <w:rFonts w:ascii="Arial" w:eastAsia="Calibri" w:hAnsi="Arial" w:cs="Times New Roman"/>
        </w:rPr>
      </w:pPr>
      <w:r w:rsidRPr="005B6F9D">
        <w:rPr>
          <w:rFonts w:ascii="Arial" w:eastAsia="Calibri" w:hAnsi="Arial" w:cs="Times New Roman"/>
        </w:rPr>
        <w:t>Percentage of Council Tax collected (Cumulative YTD)</w:t>
      </w:r>
      <w:r>
        <w:rPr>
          <w:rFonts w:ascii="Arial" w:eastAsia="Calibri" w:hAnsi="Arial" w:cs="Times New Roman"/>
        </w:rPr>
        <w:t>,</w:t>
      </w:r>
    </w:p>
    <w:p w14:paraId="1AD4B560" w14:textId="77777777" w:rsidR="00AE1F7D" w:rsidRPr="00D312F8" w:rsidRDefault="00907B19" w:rsidP="00AE1F7D">
      <w:pPr>
        <w:pStyle w:val="ListParagraph"/>
        <w:numPr>
          <w:ilvl w:val="0"/>
          <w:numId w:val="15"/>
        </w:numPr>
        <w:spacing w:after="0" w:line="240" w:lineRule="auto"/>
        <w:rPr>
          <w:rFonts w:ascii="Arial" w:eastAsia="Calibri" w:hAnsi="Arial" w:cs="Times New Roman"/>
        </w:rPr>
      </w:pPr>
      <w:r w:rsidRPr="00D312F8">
        <w:rPr>
          <w:rFonts w:ascii="Arial" w:eastAsia="Calibri" w:hAnsi="Arial" w:cs="Times New Roman"/>
        </w:rPr>
        <w:t>% of telephone calls answered within 90 seconds</w:t>
      </w:r>
      <w:r>
        <w:rPr>
          <w:rFonts w:ascii="Arial" w:eastAsia="Calibri" w:hAnsi="Arial" w:cs="Times New Roman"/>
        </w:rPr>
        <w:t>,</w:t>
      </w:r>
    </w:p>
    <w:p w14:paraId="1AD4B561" w14:textId="77777777" w:rsidR="00AE1F7D" w:rsidRPr="00D312F8" w:rsidRDefault="00907B19" w:rsidP="00AE1F7D">
      <w:pPr>
        <w:pStyle w:val="ListParagraph"/>
        <w:numPr>
          <w:ilvl w:val="0"/>
          <w:numId w:val="15"/>
        </w:numPr>
        <w:spacing w:after="0" w:line="240" w:lineRule="auto"/>
        <w:rPr>
          <w:rFonts w:ascii="Arial" w:eastAsia="Calibri" w:hAnsi="Arial" w:cs="Times New Roman"/>
        </w:rPr>
      </w:pPr>
      <w:r w:rsidRPr="00D312F8">
        <w:rPr>
          <w:rFonts w:ascii="Arial" w:eastAsia="Calibri" w:hAnsi="Arial" w:cs="Times New Roman"/>
        </w:rPr>
        <w:t>% of calls abandoned before being answered in a quarter</w:t>
      </w:r>
      <w:r>
        <w:rPr>
          <w:rFonts w:ascii="Arial" w:eastAsia="Calibri" w:hAnsi="Arial" w:cs="Times New Roman"/>
        </w:rPr>
        <w:t>.</w:t>
      </w:r>
    </w:p>
    <w:p w14:paraId="1AD4B562" w14:textId="77777777" w:rsidR="00AE1F7D" w:rsidRPr="00201F8E" w:rsidRDefault="007474A4" w:rsidP="00AE1F7D">
      <w:pPr>
        <w:spacing w:after="0" w:line="240" w:lineRule="auto"/>
        <w:rPr>
          <w:rFonts w:ascii="Arial" w:eastAsia="Calibri" w:hAnsi="Arial" w:cs="Times New Roman"/>
        </w:rPr>
      </w:pPr>
    </w:p>
    <w:p w14:paraId="1AD4B563" w14:textId="77777777" w:rsidR="00AE1F7D" w:rsidRDefault="00907B19" w:rsidP="00AE1F7D">
      <w:pPr>
        <w:pStyle w:val="ListParagraph"/>
        <w:numPr>
          <w:ilvl w:val="0"/>
          <w:numId w:val="8"/>
        </w:numPr>
        <w:spacing w:after="0" w:line="240" w:lineRule="auto"/>
        <w:rPr>
          <w:rFonts w:ascii="Arial" w:eastAsia="Calibri" w:hAnsi="Arial" w:cs="Times New Roman"/>
        </w:rPr>
      </w:pPr>
      <w:r>
        <w:rPr>
          <w:rFonts w:ascii="Arial" w:eastAsia="Calibri" w:hAnsi="Arial" w:cs="Times New Roman"/>
        </w:rPr>
        <w:t xml:space="preserve">One performance </w:t>
      </w:r>
      <w:r w:rsidRPr="00D312F8">
        <w:rPr>
          <w:rFonts w:ascii="Arial" w:eastAsia="Calibri" w:hAnsi="Arial" w:cs="Times New Roman"/>
        </w:rPr>
        <w:t>measure</w:t>
      </w:r>
      <w:r>
        <w:rPr>
          <w:rFonts w:ascii="Arial" w:eastAsia="Calibri" w:hAnsi="Arial" w:cs="Times New Roman"/>
        </w:rPr>
        <w:t xml:space="preserve"> is rated blue and is</w:t>
      </w:r>
      <w:r w:rsidRPr="00D312F8">
        <w:rPr>
          <w:rFonts w:ascii="Arial" w:eastAsia="Calibri" w:hAnsi="Arial" w:cs="Times New Roman"/>
        </w:rPr>
        <w:t xml:space="preserve"> performing below target but within threshold: </w:t>
      </w:r>
    </w:p>
    <w:p w14:paraId="1AD4B564" w14:textId="77777777" w:rsidR="00AE1F7D" w:rsidRPr="00D312F8" w:rsidRDefault="00907B19" w:rsidP="00AE1F7D">
      <w:pPr>
        <w:pStyle w:val="ListParagraph"/>
        <w:numPr>
          <w:ilvl w:val="0"/>
          <w:numId w:val="15"/>
        </w:numPr>
        <w:spacing w:after="0" w:line="240" w:lineRule="auto"/>
        <w:rPr>
          <w:rFonts w:ascii="Arial" w:eastAsia="Calibri" w:hAnsi="Arial" w:cs="Times New Roman"/>
        </w:rPr>
      </w:pPr>
      <w:r w:rsidRPr="00D312F8">
        <w:rPr>
          <w:rFonts w:ascii="Arial" w:eastAsia="Calibri" w:hAnsi="Arial" w:cs="Times New Roman"/>
        </w:rPr>
        <w:t>% planning applications decided within 8 weeks (minor / other applications)</w:t>
      </w:r>
      <w:r>
        <w:rPr>
          <w:rFonts w:ascii="Arial" w:eastAsia="Calibri" w:hAnsi="Arial" w:cs="Times New Roman"/>
        </w:rPr>
        <w:t>.</w:t>
      </w:r>
    </w:p>
    <w:p w14:paraId="1AD4B565" w14:textId="77777777" w:rsidR="00AE1F7D" w:rsidRPr="00201F8E" w:rsidRDefault="007474A4" w:rsidP="00AE1F7D">
      <w:pPr>
        <w:spacing w:after="0" w:line="240" w:lineRule="auto"/>
        <w:ind w:left="1440"/>
        <w:rPr>
          <w:rFonts w:ascii="Arial" w:eastAsia="Calibri" w:hAnsi="Arial" w:cs="Times New Roman"/>
        </w:rPr>
      </w:pPr>
    </w:p>
    <w:p w14:paraId="1AD4B566" w14:textId="77777777" w:rsidR="00AE1F7D" w:rsidRDefault="00907B19" w:rsidP="00AE1F7D">
      <w:pPr>
        <w:pStyle w:val="ListParagraph"/>
        <w:numPr>
          <w:ilvl w:val="0"/>
          <w:numId w:val="8"/>
        </w:numPr>
        <w:rPr>
          <w:rFonts w:ascii="Arial" w:eastAsia="Times New Roman" w:hAnsi="Arial" w:cs="Arial"/>
          <w:lang w:eastAsia="en-GB"/>
        </w:rPr>
      </w:pPr>
      <w:r>
        <w:rPr>
          <w:rFonts w:ascii="Arial" w:eastAsia="Times New Roman" w:hAnsi="Arial" w:cs="Arial"/>
          <w:lang w:eastAsia="en-GB"/>
        </w:rPr>
        <w:t>Two</w:t>
      </w:r>
      <w:r w:rsidRPr="00201F8E">
        <w:rPr>
          <w:rFonts w:ascii="Arial" w:eastAsia="Times New Roman" w:hAnsi="Arial" w:cs="Arial"/>
          <w:lang w:eastAsia="en-GB"/>
        </w:rPr>
        <w:t xml:space="preserve"> performance measure</w:t>
      </w:r>
      <w:r>
        <w:rPr>
          <w:rFonts w:ascii="Arial" w:eastAsia="Times New Roman" w:hAnsi="Arial" w:cs="Arial"/>
          <w:lang w:eastAsia="en-GB"/>
        </w:rPr>
        <w:t>s are rated red and are performing w</w:t>
      </w:r>
      <w:r w:rsidRPr="004C7C93">
        <w:rPr>
          <w:rFonts w:ascii="Arial" w:eastAsia="Times New Roman" w:hAnsi="Arial" w:cs="Arial"/>
          <w:lang w:eastAsia="en-GB"/>
        </w:rPr>
        <w:t xml:space="preserve">orse than target, outside </w:t>
      </w:r>
    </w:p>
    <w:p w14:paraId="1AD4B567" w14:textId="77777777" w:rsidR="00AE1F7D" w:rsidRPr="00201F8E" w:rsidRDefault="00907B19" w:rsidP="00AE1F7D">
      <w:pPr>
        <w:pStyle w:val="ListParagraph"/>
        <w:ind w:left="360"/>
        <w:rPr>
          <w:rFonts w:ascii="Arial" w:eastAsia="Times New Roman" w:hAnsi="Arial" w:cs="Arial"/>
          <w:lang w:eastAsia="en-GB"/>
        </w:rPr>
      </w:pPr>
      <w:r w:rsidRPr="004C7C93">
        <w:rPr>
          <w:rFonts w:ascii="Arial" w:eastAsia="Times New Roman" w:hAnsi="Arial" w:cs="Arial"/>
          <w:lang w:eastAsia="en-GB"/>
        </w:rPr>
        <w:t>threshold:</w:t>
      </w:r>
    </w:p>
    <w:p w14:paraId="1AD4B568" w14:textId="77777777" w:rsidR="00AE1F7D" w:rsidRDefault="00907B19" w:rsidP="00AE1F7D">
      <w:pPr>
        <w:numPr>
          <w:ilvl w:val="0"/>
          <w:numId w:val="15"/>
        </w:numPr>
        <w:spacing w:after="0" w:line="240" w:lineRule="auto"/>
        <w:rPr>
          <w:rFonts w:ascii="Arial" w:eastAsia="Calibri" w:hAnsi="Arial" w:cs="Times New Roman"/>
        </w:rPr>
      </w:pPr>
      <w:r w:rsidRPr="00875E57">
        <w:rPr>
          <w:rFonts w:ascii="Arial" w:eastAsia="Calibri" w:hAnsi="Arial" w:cs="Times New Roman"/>
        </w:rPr>
        <w:t>Percentage of Business Rates (Cumulative YTD)</w:t>
      </w:r>
      <w:r>
        <w:rPr>
          <w:rFonts w:ascii="Arial" w:eastAsia="Calibri" w:hAnsi="Arial" w:cs="Times New Roman"/>
        </w:rPr>
        <w:t>,</w:t>
      </w:r>
    </w:p>
    <w:p w14:paraId="1AD4B569" w14:textId="77777777" w:rsidR="00AE1F7D" w:rsidRPr="002936BC" w:rsidRDefault="00907B19" w:rsidP="00AE1F7D">
      <w:pPr>
        <w:pStyle w:val="ListParagraph"/>
        <w:numPr>
          <w:ilvl w:val="0"/>
          <w:numId w:val="15"/>
        </w:numPr>
        <w:rPr>
          <w:rFonts w:ascii="Arial" w:eastAsia="Calibri" w:hAnsi="Arial" w:cs="Times New Roman"/>
        </w:rPr>
      </w:pPr>
      <w:r w:rsidRPr="002936BC">
        <w:rPr>
          <w:rFonts w:ascii="Arial" w:eastAsia="Calibri" w:hAnsi="Arial" w:cs="Times New Roman"/>
        </w:rPr>
        <w:t>Average days to process a new Housing Benefit claim</w:t>
      </w:r>
      <w:r>
        <w:rPr>
          <w:rFonts w:ascii="Arial" w:eastAsia="Calibri" w:hAnsi="Arial" w:cs="Times New Roman"/>
        </w:rPr>
        <w:t>.</w:t>
      </w:r>
    </w:p>
    <w:p w14:paraId="1AD4B56A" w14:textId="77777777" w:rsidR="00AE1F7D" w:rsidRDefault="007474A4" w:rsidP="00AE1F7D">
      <w:pPr>
        <w:pStyle w:val="ListParagraph"/>
        <w:spacing w:after="0" w:line="240" w:lineRule="auto"/>
        <w:ind w:left="1440"/>
        <w:rPr>
          <w:rFonts w:ascii="Arial" w:eastAsia="Calibri" w:hAnsi="Arial" w:cs="Times New Roman"/>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066063" w14:paraId="1AD4B572" w14:textId="77777777" w:rsidTr="00AE1F7D">
        <w:trPr>
          <w:trHeight w:val="254"/>
        </w:trPr>
        <w:tc>
          <w:tcPr>
            <w:tcW w:w="3233" w:type="dxa"/>
            <w:shd w:val="clear" w:color="auto" w:fill="BFBFBF"/>
            <w:vAlign w:val="center"/>
          </w:tcPr>
          <w:p w14:paraId="1AD4B56B" w14:textId="77777777" w:rsidR="00AE1F7D" w:rsidRPr="00826EB3" w:rsidRDefault="00907B19" w:rsidP="00AE1F7D">
            <w:pPr>
              <w:widowControl w:val="0"/>
              <w:spacing w:after="160" w:line="259" w:lineRule="auto"/>
              <w:contextualSpacing/>
              <w:outlineLvl w:val="0"/>
              <w:rPr>
                <w:b/>
                <w:bCs/>
              </w:rPr>
            </w:pPr>
            <w:r w:rsidRPr="00826EB3">
              <w:rPr>
                <w:b/>
                <w:bCs/>
              </w:rPr>
              <w:t>Key Performance Indicator</w:t>
            </w:r>
          </w:p>
        </w:tc>
        <w:tc>
          <w:tcPr>
            <w:tcW w:w="1161" w:type="dxa"/>
            <w:shd w:val="clear" w:color="auto" w:fill="BFBFBF"/>
            <w:vAlign w:val="center"/>
          </w:tcPr>
          <w:p w14:paraId="1AD4B56C" w14:textId="77777777" w:rsidR="00AE1F7D" w:rsidRPr="00826EB3" w:rsidRDefault="00907B19" w:rsidP="00AE1F7D">
            <w:pPr>
              <w:widowControl w:val="0"/>
              <w:spacing w:after="0" w:line="257" w:lineRule="auto"/>
              <w:jc w:val="center"/>
              <w:outlineLvl w:val="0"/>
              <w:rPr>
                <w:b/>
                <w:bCs/>
              </w:rPr>
            </w:pPr>
            <w:r w:rsidRPr="00826EB3">
              <w:rPr>
                <w:b/>
                <w:bCs/>
              </w:rPr>
              <w:t>Target</w:t>
            </w:r>
          </w:p>
        </w:tc>
        <w:tc>
          <w:tcPr>
            <w:tcW w:w="1560" w:type="dxa"/>
            <w:shd w:val="clear" w:color="auto" w:fill="BFBFBF"/>
            <w:vAlign w:val="center"/>
          </w:tcPr>
          <w:p w14:paraId="1AD4B56D" w14:textId="77777777" w:rsidR="00AE1F7D" w:rsidRPr="00826EB3" w:rsidRDefault="00907B19" w:rsidP="00AE1F7D">
            <w:pPr>
              <w:widowControl w:val="0"/>
              <w:spacing w:after="0" w:line="257" w:lineRule="auto"/>
              <w:jc w:val="center"/>
              <w:outlineLvl w:val="0"/>
              <w:rPr>
                <w:b/>
                <w:bCs/>
              </w:rPr>
            </w:pPr>
            <w:r w:rsidRPr="00826EB3">
              <w:rPr>
                <w:b/>
                <w:bCs/>
              </w:rPr>
              <w:t>Comparable Period</w:t>
            </w:r>
          </w:p>
        </w:tc>
        <w:tc>
          <w:tcPr>
            <w:tcW w:w="1275" w:type="dxa"/>
            <w:shd w:val="clear" w:color="auto" w:fill="BFBFBF"/>
            <w:vAlign w:val="center"/>
          </w:tcPr>
          <w:p w14:paraId="1AD4B56E" w14:textId="77777777" w:rsidR="00AE1F7D" w:rsidRPr="00F12C84" w:rsidRDefault="00907B19" w:rsidP="00AE1F7D">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2</w:t>
            </w:r>
          </w:p>
          <w:p w14:paraId="1AD4B56F" w14:textId="77777777" w:rsidR="00AE1F7D" w:rsidRPr="00826EB3" w:rsidRDefault="00907B19" w:rsidP="00AE1F7D">
            <w:pPr>
              <w:widowControl w:val="0"/>
              <w:spacing w:after="0" w:line="257" w:lineRule="auto"/>
              <w:jc w:val="center"/>
              <w:outlineLvl w:val="0"/>
              <w:rPr>
                <w:b/>
                <w:bCs/>
              </w:rPr>
            </w:pPr>
            <w:r w:rsidRPr="00F12C84">
              <w:rPr>
                <w:rFonts w:eastAsia="Calibri" w:cs="Times New Roman"/>
                <w:b/>
                <w:bCs/>
              </w:rPr>
              <w:t>202</w:t>
            </w:r>
            <w:r>
              <w:rPr>
                <w:rFonts w:eastAsia="Calibri" w:cs="Times New Roman"/>
                <w:b/>
                <w:bCs/>
              </w:rPr>
              <w:t>1/22</w:t>
            </w:r>
          </w:p>
        </w:tc>
        <w:tc>
          <w:tcPr>
            <w:tcW w:w="1276" w:type="dxa"/>
            <w:shd w:val="clear" w:color="auto" w:fill="BFBFBF"/>
            <w:vAlign w:val="center"/>
          </w:tcPr>
          <w:p w14:paraId="1AD4B570" w14:textId="77777777" w:rsidR="00AE1F7D" w:rsidRPr="00826EB3" w:rsidRDefault="00907B19" w:rsidP="00AE1F7D">
            <w:pPr>
              <w:widowControl w:val="0"/>
              <w:spacing w:after="0" w:line="257" w:lineRule="auto"/>
              <w:jc w:val="center"/>
              <w:outlineLvl w:val="0"/>
              <w:rPr>
                <w:b/>
                <w:bCs/>
              </w:rPr>
            </w:pPr>
            <w:r w:rsidRPr="00826EB3">
              <w:rPr>
                <w:b/>
                <w:bCs/>
              </w:rPr>
              <w:t xml:space="preserve">Symbol </w:t>
            </w:r>
          </w:p>
        </w:tc>
        <w:tc>
          <w:tcPr>
            <w:tcW w:w="1278" w:type="dxa"/>
            <w:shd w:val="clear" w:color="auto" w:fill="BFBFBF"/>
            <w:vAlign w:val="center"/>
          </w:tcPr>
          <w:p w14:paraId="1AD4B571" w14:textId="77777777" w:rsidR="00AE1F7D" w:rsidRPr="00826EB3" w:rsidRDefault="00907B19" w:rsidP="00AE1F7D">
            <w:pPr>
              <w:widowControl w:val="0"/>
              <w:spacing w:after="0" w:line="257" w:lineRule="auto"/>
              <w:jc w:val="center"/>
              <w:outlineLvl w:val="0"/>
              <w:rPr>
                <w:b/>
                <w:bCs/>
              </w:rPr>
            </w:pPr>
            <w:r w:rsidRPr="00826EB3">
              <w:rPr>
                <w:b/>
                <w:bCs/>
              </w:rPr>
              <w:t>Trend</w:t>
            </w:r>
          </w:p>
        </w:tc>
      </w:tr>
      <w:tr w:rsidR="00066063" w14:paraId="1AD4B57A" w14:textId="77777777" w:rsidTr="00AE1F7D">
        <w:trPr>
          <w:trHeight w:val="834"/>
        </w:trPr>
        <w:tc>
          <w:tcPr>
            <w:tcW w:w="3233" w:type="dxa"/>
            <w:shd w:val="clear" w:color="auto" w:fill="auto"/>
            <w:vAlign w:val="center"/>
          </w:tcPr>
          <w:p w14:paraId="1AD4B573" w14:textId="77777777" w:rsidR="00AE1F7D" w:rsidRPr="00826EB3" w:rsidRDefault="00907B19" w:rsidP="00AE1F7D">
            <w:pPr>
              <w:spacing w:after="0" w:line="240" w:lineRule="auto"/>
            </w:pPr>
            <w:r w:rsidRPr="00F12C84">
              <w:rPr>
                <w:rFonts w:eastAsia="Calibri" w:cs="Times New Roman"/>
              </w:rPr>
              <w:t>Percentage of Business Rates (Cumulative YTD)</w:t>
            </w:r>
          </w:p>
        </w:tc>
        <w:tc>
          <w:tcPr>
            <w:tcW w:w="1161" w:type="dxa"/>
            <w:shd w:val="clear" w:color="auto" w:fill="auto"/>
            <w:vAlign w:val="center"/>
          </w:tcPr>
          <w:p w14:paraId="1AD4B574" w14:textId="77777777" w:rsidR="00AE1F7D" w:rsidRPr="00826EB3" w:rsidRDefault="00907B19" w:rsidP="00AE1F7D">
            <w:pPr>
              <w:widowControl w:val="0"/>
              <w:spacing w:line="256" w:lineRule="auto"/>
              <w:contextualSpacing/>
              <w:jc w:val="center"/>
              <w:outlineLvl w:val="0"/>
            </w:pPr>
            <w:r w:rsidRPr="001B4DEE">
              <w:rPr>
                <w:rFonts w:eastAsia="Calibri" w:cs="Times New Roman"/>
              </w:rPr>
              <w:t>55.16%</w:t>
            </w:r>
          </w:p>
        </w:tc>
        <w:tc>
          <w:tcPr>
            <w:tcW w:w="1560" w:type="dxa"/>
            <w:shd w:val="clear" w:color="auto" w:fill="auto"/>
            <w:vAlign w:val="center"/>
          </w:tcPr>
          <w:p w14:paraId="1AD4B575" w14:textId="77777777" w:rsidR="00AE1F7D" w:rsidRDefault="00907B19" w:rsidP="00AE1F7D">
            <w:pPr>
              <w:widowControl w:val="0"/>
              <w:spacing w:after="0" w:line="240" w:lineRule="auto"/>
              <w:contextualSpacing/>
              <w:jc w:val="center"/>
              <w:outlineLvl w:val="0"/>
              <w:rPr>
                <w:rFonts w:eastAsia="Calibri" w:cs="Times New Roman"/>
              </w:rPr>
            </w:pPr>
            <w:r w:rsidRPr="004B6F52">
              <w:rPr>
                <w:rFonts w:eastAsia="Calibri" w:cs="Times New Roman"/>
              </w:rPr>
              <w:t>30.96</w:t>
            </w:r>
            <w:r>
              <w:rPr>
                <w:rFonts w:eastAsia="Calibri" w:cs="Times New Roman"/>
              </w:rPr>
              <w:t>%</w:t>
            </w:r>
          </w:p>
          <w:p w14:paraId="1AD4B576" w14:textId="77777777" w:rsidR="00AE1F7D" w:rsidRPr="00826EB3" w:rsidRDefault="00907B19" w:rsidP="00AE1F7D">
            <w:pPr>
              <w:widowControl w:val="0"/>
              <w:spacing w:after="0" w:line="240" w:lineRule="auto"/>
              <w:contextualSpacing/>
              <w:jc w:val="center"/>
              <w:outlineLvl w:val="0"/>
            </w:pPr>
            <w:r>
              <w:rPr>
                <w:rFonts w:eastAsia="Calibri" w:cs="Times New Roman"/>
              </w:rPr>
              <w:t>(Q1:2021/22)</w:t>
            </w:r>
          </w:p>
        </w:tc>
        <w:tc>
          <w:tcPr>
            <w:tcW w:w="1275" w:type="dxa"/>
            <w:shd w:val="clear" w:color="auto" w:fill="auto"/>
            <w:vAlign w:val="center"/>
          </w:tcPr>
          <w:p w14:paraId="1AD4B577" w14:textId="77777777" w:rsidR="00AE1F7D" w:rsidRPr="00826EB3" w:rsidRDefault="00907B19" w:rsidP="00AE1F7D">
            <w:pPr>
              <w:widowControl w:val="0"/>
              <w:spacing w:after="0" w:line="259" w:lineRule="auto"/>
              <w:contextualSpacing/>
              <w:jc w:val="center"/>
              <w:outlineLvl w:val="0"/>
              <w:rPr>
                <w:b/>
                <w:bCs/>
              </w:rPr>
            </w:pPr>
            <w:r>
              <w:rPr>
                <w:rFonts w:eastAsia="Calibri" w:cs="Times New Roman"/>
                <w:b/>
                <w:bCs/>
              </w:rPr>
              <w:t>51.97%</w:t>
            </w:r>
          </w:p>
        </w:tc>
        <w:tc>
          <w:tcPr>
            <w:tcW w:w="1276" w:type="dxa"/>
            <w:tcBorders>
              <w:top w:val="single" w:sz="8" w:space="0" w:color="auto"/>
              <w:left w:val="single" w:sz="8" w:space="0" w:color="auto"/>
              <w:bottom w:val="single" w:sz="8" w:space="0" w:color="auto"/>
              <w:right w:val="single" w:sz="8" w:space="0" w:color="auto"/>
            </w:tcBorders>
            <w:vAlign w:val="center"/>
          </w:tcPr>
          <w:p w14:paraId="1AD4B578" w14:textId="77777777" w:rsidR="00AE1F7D" w:rsidRPr="00826EB3" w:rsidRDefault="00907B19" w:rsidP="00AE1F7D">
            <w:pPr>
              <w:widowControl w:val="0"/>
              <w:spacing w:after="0" w:line="259" w:lineRule="auto"/>
              <w:contextualSpacing/>
              <w:jc w:val="center"/>
              <w:outlineLvl w:val="0"/>
            </w:pPr>
            <w:r w:rsidRPr="00F12C84">
              <w:rPr>
                <w:rFonts w:ascii="Wingdings 3" w:eastAsia="Arial" w:hAnsi="Wingdings 3" w:cs="Times New Roman"/>
                <w:color w:val="FF0000"/>
                <w:sz w:val="32"/>
              </w:rPr>
              <w:sym w:font="Wingdings 3" w:char="F070"/>
            </w:r>
          </w:p>
        </w:tc>
        <w:tc>
          <w:tcPr>
            <w:tcW w:w="1278" w:type="dxa"/>
            <w:tcBorders>
              <w:top w:val="single" w:sz="8" w:space="0" w:color="auto"/>
              <w:left w:val="single" w:sz="8" w:space="0" w:color="auto"/>
              <w:bottom w:val="single" w:sz="8" w:space="0" w:color="auto"/>
              <w:right w:val="single" w:sz="8" w:space="0" w:color="auto"/>
            </w:tcBorders>
            <w:vAlign w:val="center"/>
          </w:tcPr>
          <w:p w14:paraId="1AD4B579" w14:textId="77777777" w:rsidR="00AE1F7D" w:rsidRPr="00826EB3" w:rsidRDefault="00907B19" w:rsidP="00AE1F7D">
            <w:pPr>
              <w:widowControl w:val="0"/>
              <w:spacing w:after="0" w:line="259" w:lineRule="auto"/>
              <w:contextualSpacing/>
              <w:jc w:val="center"/>
              <w:outlineLvl w:val="0"/>
            </w:pPr>
            <w:r>
              <w:rPr>
                <w:rFonts w:eastAsia="Calibri" w:cs="Times New Roman"/>
                <w:color w:val="FF0000"/>
              </w:rPr>
              <w:t>Worse than Q2 2020/21</w:t>
            </w:r>
          </w:p>
        </w:tc>
      </w:tr>
      <w:tr w:rsidR="00066063" w14:paraId="1AD4B57F" w14:textId="77777777" w:rsidTr="00AE1F7D">
        <w:trPr>
          <w:trHeight w:val="132"/>
        </w:trPr>
        <w:tc>
          <w:tcPr>
            <w:tcW w:w="3233" w:type="dxa"/>
            <w:shd w:val="clear" w:color="auto" w:fill="auto"/>
          </w:tcPr>
          <w:p w14:paraId="1AD4B57B" w14:textId="77777777" w:rsidR="00AE1F7D" w:rsidRPr="00826EB3" w:rsidRDefault="00907B19" w:rsidP="00AE1F7D">
            <w:pPr>
              <w:widowControl w:val="0"/>
              <w:spacing w:after="160" w:line="259" w:lineRule="auto"/>
              <w:contextualSpacing/>
              <w:outlineLvl w:val="0"/>
              <w:rPr>
                <w:b/>
                <w:bCs/>
              </w:rPr>
            </w:pPr>
            <w:r w:rsidRPr="00826EB3">
              <w:rPr>
                <w:rFonts w:ascii="Arial" w:eastAsia="Calibri" w:hAnsi="Arial" w:cs="Times New Roman"/>
                <w:b/>
                <w:bCs/>
              </w:rPr>
              <w:t>Commentary:</w:t>
            </w:r>
          </w:p>
        </w:tc>
        <w:tc>
          <w:tcPr>
            <w:tcW w:w="6550" w:type="dxa"/>
            <w:gridSpan w:val="5"/>
            <w:tcBorders>
              <w:top w:val="single" w:sz="4" w:space="0" w:color="auto"/>
              <w:left w:val="single" w:sz="4" w:space="0" w:color="auto"/>
              <w:bottom w:val="single" w:sz="4" w:space="0" w:color="auto"/>
              <w:right w:val="single" w:sz="4" w:space="0" w:color="auto"/>
            </w:tcBorders>
            <w:vAlign w:val="center"/>
          </w:tcPr>
          <w:p w14:paraId="1AD4B57C" w14:textId="77777777" w:rsidR="00AE1F7D" w:rsidRDefault="00907B19" w:rsidP="00AE1F7D">
            <w:pPr>
              <w:spacing w:after="0" w:line="240" w:lineRule="auto"/>
            </w:pPr>
            <w:r w:rsidRPr="006857DB">
              <w:rPr>
                <w:rFonts w:eastAsia="Calibri" w:cs="Times New Roman"/>
              </w:rPr>
              <w:t xml:space="preserve">This indicator </w:t>
            </w:r>
            <w:r>
              <w:rPr>
                <w:rFonts w:eastAsia="Calibri" w:cs="Times New Roman"/>
              </w:rPr>
              <w:t xml:space="preserve">has performed </w:t>
            </w:r>
            <w:r w:rsidRPr="006857DB">
              <w:rPr>
                <w:rFonts w:eastAsia="Calibri" w:cs="Times New Roman"/>
              </w:rPr>
              <w:t xml:space="preserve">worse than target </w:t>
            </w:r>
            <w:r>
              <w:rPr>
                <w:rFonts w:eastAsia="Calibri" w:cs="Times New Roman"/>
              </w:rPr>
              <w:t xml:space="preserve">and has been impacted by an increase in the net debt collectable debit </w:t>
            </w:r>
            <w:r>
              <w:t>due to the reduction of Expanded Retail Discount from 100% to 66% relief which came into effect from 1 July 2021.</w:t>
            </w:r>
            <w:r w:rsidRPr="00826EB3">
              <w:t xml:space="preserve"> </w:t>
            </w:r>
          </w:p>
          <w:p w14:paraId="1AD4B57D" w14:textId="77777777" w:rsidR="00AE1F7D" w:rsidRDefault="007474A4" w:rsidP="00AE1F7D">
            <w:pPr>
              <w:spacing w:after="0" w:line="240" w:lineRule="auto"/>
            </w:pPr>
          </w:p>
          <w:p w14:paraId="1AD4B57E" w14:textId="77777777" w:rsidR="00AE1F7D" w:rsidRPr="00826EB3" w:rsidRDefault="00907B19" w:rsidP="00AE1F7D">
            <w:pPr>
              <w:spacing w:after="0" w:line="240" w:lineRule="auto"/>
            </w:pPr>
            <w:r>
              <w:t>Improved performance is anticipated month on month as the net collectable debit is repaid by monthly instalments until March 2022. The recommencement of statutory recovery action alongside the recovery of the local economy will also support an improvement in performance.</w:t>
            </w:r>
          </w:p>
        </w:tc>
      </w:tr>
    </w:tbl>
    <w:p w14:paraId="1AD4B580" w14:textId="77777777" w:rsidR="00AE1F7D" w:rsidRDefault="007474A4" w:rsidP="00AE1F7D">
      <w:pPr>
        <w:tabs>
          <w:tab w:val="left" w:pos="567"/>
        </w:tabs>
        <w:spacing w:after="0" w:line="240" w:lineRule="auto"/>
        <w:ind w:right="-284"/>
        <w:rPr>
          <w:rFonts w:ascii="Arial" w:eastAsia="Times New Roman" w:hAnsi="Arial" w:cs="Arial"/>
          <w:lang w:eastAsia="en-GB"/>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066063" w14:paraId="1AD4B588" w14:textId="77777777" w:rsidTr="00AE1F7D">
        <w:trPr>
          <w:trHeight w:val="254"/>
        </w:trPr>
        <w:tc>
          <w:tcPr>
            <w:tcW w:w="3233" w:type="dxa"/>
            <w:shd w:val="clear" w:color="auto" w:fill="BFBFBF"/>
            <w:vAlign w:val="center"/>
          </w:tcPr>
          <w:p w14:paraId="1AD4B581" w14:textId="77777777" w:rsidR="00AE1F7D" w:rsidRPr="00826EB3" w:rsidRDefault="00907B19" w:rsidP="00AE1F7D">
            <w:pPr>
              <w:widowControl w:val="0"/>
              <w:spacing w:after="160" w:line="259" w:lineRule="auto"/>
              <w:contextualSpacing/>
              <w:outlineLvl w:val="0"/>
              <w:rPr>
                <w:b/>
                <w:bCs/>
              </w:rPr>
            </w:pPr>
            <w:bookmarkStart w:id="17" w:name="_Hlk86391938"/>
            <w:r w:rsidRPr="00826EB3">
              <w:rPr>
                <w:b/>
                <w:bCs/>
              </w:rPr>
              <w:t>Key Performance Indicator</w:t>
            </w:r>
          </w:p>
        </w:tc>
        <w:tc>
          <w:tcPr>
            <w:tcW w:w="1161" w:type="dxa"/>
            <w:shd w:val="clear" w:color="auto" w:fill="BFBFBF"/>
            <w:vAlign w:val="center"/>
          </w:tcPr>
          <w:p w14:paraId="1AD4B582" w14:textId="77777777" w:rsidR="00AE1F7D" w:rsidRPr="00826EB3" w:rsidRDefault="00907B19" w:rsidP="00AE1F7D">
            <w:pPr>
              <w:widowControl w:val="0"/>
              <w:spacing w:after="0" w:line="257" w:lineRule="auto"/>
              <w:jc w:val="center"/>
              <w:outlineLvl w:val="0"/>
              <w:rPr>
                <w:b/>
                <w:bCs/>
              </w:rPr>
            </w:pPr>
            <w:r w:rsidRPr="00826EB3">
              <w:rPr>
                <w:b/>
                <w:bCs/>
              </w:rPr>
              <w:t>Target</w:t>
            </w:r>
          </w:p>
        </w:tc>
        <w:tc>
          <w:tcPr>
            <w:tcW w:w="1560" w:type="dxa"/>
            <w:shd w:val="clear" w:color="auto" w:fill="BFBFBF"/>
            <w:vAlign w:val="center"/>
          </w:tcPr>
          <w:p w14:paraId="1AD4B583" w14:textId="77777777" w:rsidR="00AE1F7D" w:rsidRPr="00826EB3" w:rsidRDefault="00907B19" w:rsidP="00AE1F7D">
            <w:pPr>
              <w:widowControl w:val="0"/>
              <w:spacing w:after="0" w:line="257" w:lineRule="auto"/>
              <w:jc w:val="center"/>
              <w:outlineLvl w:val="0"/>
              <w:rPr>
                <w:b/>
                <w:bCs/>
              </w:rPr>
            </w:pPr>
            <w:r w:rsidRPr="00826EB3">
              <w:rPr>
                <w:b/>
                <w:bCs/>
              </w:rPr>
              <w:t>Comparable Period</w:t>
            </w:r>
          </w:p>
        </w:tc>
        <w:tc>
          <w:tcPr>
            <w:tcW w:w="1275" w:type="dxa"/>
            <w:shd w:val="clear" w:color="auto" w:fill="BFBFBF"/>
            <w:vAlign w:val="center"/>
          </w:tcPr>
          <w:p w14:paraId="1AD4B584" w14:textId="77777777" w:rsidR="00AE1F7D" w:rsidRPr="00F12C84" w:rsidRDefault="00907B19" w:rsidP="00AE1F7D">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2</w:t>
            </w:r>
          </w:p>
          <w:p w14:paraId="1AD4B585" w14:textId="77777777" w:rsidR="00AE1F7D" w:rsidRPr="00826EB3" w:rsidRDefault="00907B19" w:rsidP="00AE1F7D">
            <w:pPr>
              <w:widowControl w:val="0"/>
              <w:spacing w:after="0" w:line="257" w:lineRule="auto"/>
              <w:jc w:val="center"/>
              <w:outlineLvl w:val="0"/>
              <w:rPr>
                <w:b/>
                <w:bCs/>
              </w:rPr>
            </w:pPr>
            <w:r w:rsidRPr="00F12C84">
              <w:rPr>
                <w:rFonts w:eastAsia="Calibri" w:cs="Times New Roman"/>
                <w:b/>
                <w:bCs/>
              </w:rPr>
              <w:t>202</w:t>
            </w:r>
            <w:r>
              <w:rPr>
                <w:rFonts w:eastAsia="Calibri" w:cs="Times New Roman"/>
                <w:b/>
                <w:bCs/>
              </w:rPr>
              <w:t>1/22</w:t>
            </w:r>
          </w:p>
        </w:tc>
        <w:tc>
          <w:tcPr>
            <w:tcW w:w="1276" w:type="dxa"/>
            <w:shd w:val="clear" w:color="auto" w:fill="BFBFBF"/>
            <w:vAlign w:val="center"/>
          </w:tcPr>
          <w:p w14:paraId="1AD4B586" w14:textId="77777777" w:rsidR="00AE1F7D" w:rsidRPr="00826EB3" w:rsidRDefault="00907B19" w:rsidP="00AE1F7D">
            <w:pPr>
              <w:widowControl w:val="0"/>
              <w:spacing w:after="0" w:line="257" w:lineRule="auto"/>
              <w:jc w:val="center"/>
              <w:outlineLvl w:val="0"/>
              <w:rPr>
                <w:b/>
                <w:bCs/>
              </w:rPr>
            </w:pPr>
            <w:r w:rsidRPr="00826EB3">
              <w:rPr>
                <w:b/>
                <w:bCs/>
              </w:rPr>
              <w:t xml:space="preserve">Symbol </w:t>
            </w:r>
          </w:p>
        </w:tc>
        <w:tc>
          <w:tcPr>
            <w:tcW w:w="1278" w:type="dxa"/>
            <w:shd w:val="clear" w:color="auto" w:fill="BFBFBF"/>
            <w:vAlign w:val="center"/>
          </w:tcPr>
          <w:p w14:paraId="1AD4B587" w14:textId="77777777" w:rsidR="00AE1F7D" w:rsidRPr="00826EB3" w:rsidRDefault="00907B19" w:rsidP="00AE1F7D">
            <w:pPr>
              <w:widowControl w:val="0"/>
              <w:spacing w:after="0" w:line="257" w:lineRule="auto"/>
              <w:jc w:val="center"/>
              <w:outlineLvl w:val="0"/>
              <w:rPr>
                <w:b/>
                <w:bCs/>
              </w:rPr>
            </w:pPr>
            <w:r w:rsidRPr="00826EB3">
              <w:rPr>
                <w:b/>
                <w:bCs/>
              </w:rPr>
              <w:t>Trend</w:t>
            </w:r>
          </w:p>
        </w:tc>
      </w:tr>
      <w:tr w:rsidR="00066063" w14:paraId="1AD4B592" w14:textId="77777777" w:rsidTr="00AE1F7D">
        <w:trPr>
          <w:trHeight w:val="834"/>
        </w:trPr>
        <w:tc>
          <w:tcPr>
            <w:tcW w:w="3233" w:type="dxa"/>
            <w:shd w:val="clear" w:color="auto" w:fill="auto"/>
            <w:vAlign w:val="center"/>
          </w:tcPr>
          <w:p w14:paraId="1AD4B589" w14:textId="77777777" w:rsidR="00AE1F7D" w:rsidRPr="00826EB3" w:rsidRDefault="00907B19" w:rsidP="00AE1F7D">
            <w:pPr>
              <w:spacing w:after="0" w:line="240" w:lineRule="auto"/>
            </w:pPr>
            <w:r w:rsidRPr="002936BC">
              <w:t>Average days to process a new Housing Benefit claim</w:t>
            </w:r>
          </w:p>
        </w:tc>
        <w:tc>
          <w:tcPr>
            <w:tcW w:w="1161" w:type="dxa"/>
            <w:shd w:val="clear" w:color="auto" w:fill="auto"/>
            <w:vAlign w:val="center"/>
          </w:tcPr>
          <w:p w14:paraId="1AD4B58A" w14:textId="77777777" w:rsidR="00AE1F7D" w:rsidRPr="00826EB3" w:rsidRDefault="00907B19" w:rsidP="00AE1F7D">
            <w:pPr>
              <w:widowControl w:val="0"/>
              <w:spacing w:line="256" w:lineRule="auto"/>
              <w:contextualSpacing/>
              <w:jc w:val="center"/>
              <w:outlineLvl w:val="0"/>
            </w:pPr>
            <w:r w:rsidRPr="00F12C84">
              <w:rPr>
                <w:rFonts w:eastAsia="Calibri" w:cs="Times New Roman"/>
              </w:rPr>
              <w:t>1</w:t>
            </w:r>
            <w:r>
              <w:rPr>
                <w:rFonts w:eastAsia="Calibri" w:cs="Times New Roman"/>
              </w:rPr>
              <w:t>6</w:t>
            </w:r>
            <w:r w:rsidRPr="00F12C84">
              <w:rPr>
                <w:rFonts w:eastAsia="Calibri" w:cs="Times New Roman"/>
              </w:rPr>
              <w:t xml:space="preserve"> days</w:t>
            </w:r>
          </w:p>
        </w:tc>
        <w:tc>
          <w:tcPr>
            <w:tcW w:w="1560" w:type="dxa"/>
            <w:shd w:val="clear" w:color="auto" w:fill="auto"/>
            <w:vAlign w:val="center"/>
          </w:tcPr>
          <w:p w14:paraId="1AD4B58B" w14:textId="77777777" w:rsidR="00AE1F7D" w:rsidRPr="004B6F52" w:rsidRDefault="00907B19" w:rsidP="00AE1F7D">
            <w:pPr>
              <w:widowControl w:val="0"/>
              <w:spacing w:line="256" w:lineRule="auto"/>
              <w:contextualSpacing/>
              <w:jc w:val="center"/>
              <w:outlineLvl w:val="0"/>
              <w:rPr>
                <w:rFonts w:eastAsia="Calibri" w:cs="Times New Roman"/>
              </w:rPr>
            </w:pPr>
            <w:r w:rsidRPr="004B6F52">
              <w:rPr>
                <w:rFonts w:eastAsia="Calibri" w:cs="Times New Roman"/>
              </w:rPr>
              <w:t xml:space="preserve">15.46 </w:t>
            </w:r>
          </w:p>
          <w:p w14:paraId="1AD4B58C" w14:textId="77777777" w:rsidR="00AE1F7D" w:rsidRDefault="00907B19" w:rsidP="00AE1F7D">
            <w:pPr>
              <w:widowControl w:val="0"/>
              <w:spacing w:after="0" w:line="240" w:lineRule="auto"/>
              <w:contextualSpacing/>
              <w:jc w:val="center"/>
              <w:outlineLvl w:val="0"/>
              <w:rPr>
                <w:rFonts w:eastAsia="Calibri" w:cs="Times New Roman"/>
              </w:rPr>
            </w:pPr>
            <w:r w:rsidRPr="004B6F52">
              <w:rPr>
                <w:rFonts w:eastAsia="Calibri" w:cs="Times New Roman"/>
              </w:rPr>
              <w:t>Days</w:t>
            </w:r>
          </w:p>
          <w:p w14:paraId="1AD4B58D" w14:textId="77777777" w:rsidR="00AE1F7D" w:rsidRPr="00826EB3" w:rsidRDefault="00907B19" w:rsidP="00AE1F7D">
            <w:pPr>
              <w:widowControl w:val="0"/>
              <w:spacing w:after="0" w:line="240" w:lineRule="auto"/>
              <w:contextualSpacing/>
              <w:jc w:val="center"/>
              <w:outlineLvl w:val="0"/>
            </w:pPr>
            <w:r>
              <w:rPr>
                <w:rFonts w:eastAsia="Arial" w:cs="Times New Roman"/>
                <w:lang w:val="en-US"/>
              </w:rPr>
              <w:t>(Q1:2021/22)</w:t>
            </w:r>
          </w:p>
        </w:tc>
        <w:tc>
          <w:tcPr>
            <w:tcW w:w="1275" w:type="dxa"/>
            <w:shd w:val="clear" w:color="auto" w:fill="auto"/>
            <w:vAlign w:val="center"/>
          </w:tcPr>
          <w:p w14:paraId="1AD4B58E" w14:textId="77777777" w:rsidR="00AE1F7D" w:rsidRPr="00FC7395" w:rsidRDefault="00907B19" w:rsidP="00AE1F7D">
            <w:pPr>
              <w:widowControl w:val="0"/>
              <w:spacing w:line="256" w:lineRule="auto"/>
              <w:contextualSpacing/>
              <w:jc w:val="center"/>
              <w:outlineLvl w:val="0"/>
              <w:rPr>
                <w:rFonts w:eastAsia="Calibri" w:cs="Times New Roman"/>
                <w:b/>
                <w:bCs/>
              </w:rPr>
            </w:pPr>
            <w:r w:rsidRPr="00FC7395">
              <w:rPr>
                <w:rFonts w:eastAsia="Calibri" w:cs="Times New Roman"/>
                <w:b/>
                <w:bCs/>
              </w:rPr>
              <w:t>21.24</w:t>
            </w:r>
          </w:p>
          <w:p w14:paraId="1AD4B58F" w14:textId="77777777" w:rsidR="00AE1F7D" w:rsidRPr="00826EB3" w:rsidRDefault="00907B19" w:rsidP="00AE1F7D">
            <w:pPr>
              <w:widowControl w:val="0"/>
              <w:spacing w:after="0" w:line="259" w:lineRule="auto"/>
              <w:contextualSpacing/>
              <w:jc w:val="center"/>
              <w:outlineLvl w:val="0"/>
              <w:rPr>
                <w:b/>
                <w:bCs/>
              </w:rPr>
            </w:pPr>
            <w:r w:rsidRPr="00FC7395">
              <w:rPr>
                <w:rFonts w:eastAsia="Calibri" w:cs="Times New Roman"/>
                <w:b/>
                <w:bCs/>
              </w:rPr>
              <w:t>days</w:t>
            </w:r>
          </w:p>
        </w:tc>
        <w:tc>
          <w:tcPr>
            <w:tcW w:w="1276" w:type="dxa"/>
            <w:tcBorders>
              <w:top w:val="single" w:sz="8" w:space="0" w:color="auto"/>
              <w:left w:val="single" w:sz="8" w:space="0" w:color="auto"/>
              <w:bottom w:val="single" w:sz="8" w:space="0" w:color="auto"/>
              <w:right w:val="single" w:sz="8" w:space="0" w:color="auto"/>
            </w:tcBorders>
            <w:vAlign w:val="center"/>
          </w:tcPr>
          <w:p w14:paraId="1AD4B590" w14:textId="77777777" w:rsidR="00AE1F7D" w:rsidRPr="00826EB3" w:rsidRDefault="00907B19" w:rsidP="00AE1F7D">
            <w:pPr>
              <w:widowControl w:val="0"/>
              <w:spacing w:after="0" w:line="259" w:lineRule="auto"/>
              <w:contextualSpacing/>
              <w:jc w:val="center"/>
              <w:outlineLvl w:val="0"/>
            </w:pPr>
            <w:r w:rsidRPr="00F12C84">
              <w:rPr>
                <w:rFonts w:ascii="Wingdings 3" w:eastAsia="Arial" w:hAnsi="Wingdings 3" w:cs="Times New Roman"/>
                <w:color w:val="FF0000"/>
                <w:sz w:val="32"/>
              </w:rPr>
              <w:sym w:font="Wingdings 3" w:char="F070"/>
            </w:r>
          </w:p>
        </w:tc>
        <w:tc>
          <w:tcPr>
            <w:tcW w:w="1278" w:type="dxa"/>
            <w:tcBorders>
              <w:top w:val="single" w:sz="8" w:space="0" w:color="auto"/>
              <w:left w:val="single" w:sz="8" w:space="0" w:color="auto"/>
              <w:bottom w:val="single" w:sz="8" w:space="0" w:color="auto"/>
              <w:right w:val="single" w:sz="8" w:space="0" w:color="auto"/>
            </w:tcBorders>
            <w:vAlign w:val="center"/>
          </w:tcPr>
          <w:p w14:paraId="1AD4B591" w14:textId="77777777" w:rsidR="00AE1F7D" w:rsidRPr="004C7C93" w:rsidRDefault="00907B19" w:rsidP="00AE1F7D">
            <w:pPr>
              <w:widowControl w:val="0"/>
              <w:spacing w:after="0" w:line="259" w:lineRule="auto"/>
              <w:contextualSpacing/>
              <w:jc w:val="center"/>
              <w:outlineLvl w:val="0"/>
              <w:rPr>
                <w:rFonts w:eastAsia="Calibri" w:cs="Times New Roman"/>
                <w:color w:val="808080" w:themeColor="background1" w:themeShade="80"/>
              </w:rPr>
            </w:pPr>
            <w:r w:rsidRPr="004C7C93">
              <w:rPr>
                <w:rFonts w:eastAsia="Calibri" w:cs="Times New Roman"/>
                <w:color w:val="808080" w:themeColor="background1" w:themeShade="80"/>
              </w:rPr>
              <w:t>Not reported Q2 2020/21</w:t>
            </w:r>
          </w:p>
        </w:tc>
      </w:tr>
      <w:tr w:rsidR="00066063" w14:paraId="1AD4B597" w14:textId="77777777" w:rsidTr="00AE1F7D">
        <w:trPr>
          <w:trHeight w:val="132"/>
        </w:trPr>
        <w:tc>
          <w:tcPr>
            <w:tcW w:w="3233" w:type="dxa"/>
            <w:shd w:val="clear" w:color="auto" w:fill="auto"/>
          </w:tcPr>
          <w:p w14:paraId="1AD4B593" w14:textId="77777777" w:rsidR="00AE1F7D" w:rsidRPr="00826EB3" w:rsidRDefault="00907B19" w:rsidP="00AE1F7D">
            <w:pPr>
              <w:widowControl w:val="0"/>
              <w:spacing w:after="160" w:line="259" w:lineRule="auto"/>
              <w:contextualSpacing/>
              <w:outlineLvl w:val="0"/>
              <w:rPr>
                <w:b/>
                <w:bCs/>
              </w:rPr>
            </w:pPr>
            <w:r w:rsidRPr="00826EB3">
              <w:rPr>
                <w:rFonts w:ascii="Arial" w:eastAsia="Calibri" w:hAnsi="Arial" w:cs="Times New Roman"/>
                <w:b/>
                <w:bCs/>
              </w:rPr>
              <w:t>Commentary:</w:t>
            </w:r>
          </w:p>
        </w:tc>
        <w:tc>
          <w:tcPr>
            <w:tcW w:w="6550" w:type="dxa"/>
            <w:gridSpan w:val="5"/>
            <w:tcBorders>
              <w:top w:val="single" w:sz="4" w:space="0" w:color="auto"/>
              <w:left w:val="single" w:sz="4" w:space="0" w:color="auto"/>
              <w:bottom w:val="single" w:sz="4" w:space="0" w:color="auto"/>
              <w:right w:val="single" w:sz="4" w:space="0" w:color="auto"/>
            </w:tcBorders>
            <w:vAlign w:val="center"/>
          </w:tcPr>
          <w:p w14:paraId="1AD4B594" w14:textId="77777777" w:rsidR="00AE1F7D" w:rsidRDefault="00907B19" w:rsidP="00AE1F7D">
            <w:pPr>
              <w:spacing w:after="0" w:line="240" w:lineRule="auto"/>
            </w:pPr>
            <w:r>
              <w:t xml:space="preserve">This indicator has performed worse than target this quarter and has been impacted by a number reasons, including an increased caseload. </w:t>
            </w:r>
          </w:p>
          <w:p w14:paraId="1AD4B595" w14:textId="77777777" w:rsidR="00AE1F7D" w:rsidRDefault="007474A4" w:rsidP="00AE1F7D">
            <w:pPr>
              <w:spacing w:after="0" w:line="240" w:lineRule="auto"/>
            </w:pPr>
          </w:p>
          <w:p w14:paraId="1AD4B596" w14:textId="77777777" w:rsidR="00AE1F7D" w:rsidRPr="00826EB3" w:rsidRDefault="00907B19" w:rsidP="00AE1F7D">
            <w:pPr>
              <w:spacing w:after="0" w:line="240" w:lineRule="auto"/>
            </w:pPr>
            <w:r>
              <w:t xml:space="preserve">The Customer Service and Revenues and Benefits review will ensure the service is effectively resourced and will make the best use of technology to improve performance. Until the review </w:t>
            </w:r>
            <w:r>
              <w:lastRenderedPageBreak/>
              <w:t>is finalised and efficiencies can be achieved in early 2022 performance will continue to be closely monitored. Processes will be reviewed to ensure they are streamlined and where possible automated. Additional hours will also be made available to bring performance back on track.</w:t>
            </w:r>
          </w:p>
        </w:tc>
      </w:tr>
      <w:bookmarkEnd w:id="17"/>
    </w:tbl>
    <w:p w14:paraId="1AD4B598" w14:textId="77777777" w:rsidR="00AE1F7D" w:rsidRDefault="007474A4" w:rsidP="00AE1F7D">
      <w:pPr>
        <w:pStyle w:val="Heading2"/>
        <w:spacing w:before="0" w:beforeAutospacing="0" w:after="0" w:afterAutospacing="0"/>
        <w:rPr>
          <w:rFonts w:asciiTheme="majorHAnsi" w:hAnsiTheme="majorHAnsi" w:cstheme="majorHAnsi"/>
          <w:sz w:val="22"/>
          <w:szCs w:val="22"/>
        </w:rPr>
      </w:pPr>
    </w:p>
    <w:p w14:paraId="1AD4B599" w14:textId="77777777" w:rsidR="00AE1F7D" w:rsidRDefault="00907B19" w:rsidP="00AE1F7D">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Climate change and air quality</w:t>
      </w:r>
    </w:p>
    <w:p w14:paraId="1AD4B59A" w14:textId="77777777" w:rsidR="00AE1F7D" w:rsidRDefault="007474A4" w:rsidP="00AE1F7D">
      <w:pPr>
        <w:pStyle w:val="Heading2"/>
        <w:spacing w:before="0" w:beforeAutospacing="0" w:after="0" w:afterAutospacing="0"/>
        <w:rPr>
          <w:rFonts w:asciiTheme="majorHAnsi" w:hAnsiTheme="majorHAnsi" w:cstheme="majorHAnsi"/>
          <w:sz w:val="22"/>
          <w:szCs w:val="22"/>
        </w:rPr>
      </w:pPr>
    </w:p>
    <w:p w14:paraId="1AD4B59B" w14:textId="77777777" w:rsidR="00AE1F7D" w:rsidRDefault="00907B19" w:rsidP="00AE1F7D">
      <w:pPr>
        <w:pStyle w:val="ListParagraph"/>
        <w:numPr>
          <w:ilvl w:val="0"/>
          <w:numId w:val="8"/>
        </w:numPr>
        <w:tabs>
          <w:tab w:val="left" w:pos="567"/>
        </w:tabs>
        <w:spacing w:after="0" w:line="240" w:lineRule="auto"/>
        <w:ind w:right="-284"/>
      </w:pPr>
      <w:r>
        <w:t>N/A</w:t>
      </w:r>
    </w:p>
    <w:p w14:paraId="1AD4B59C" w14:textId="77777777" w:rsidR="00AE1F7D" w:rsidRPr="002936BC" w:rsidRDefault="007474A4" w:rsidP="00AE1F7D">
      <w:pPr>
        <w:pStyle w:val="ListParagraph"/>
        <w:tabs>
          <w:tab w:val="left" w:pos="567"/>
        </w:tabs>
        <w:spacing w:after="0" w:line="240" w:lineRule="auto"/>
        <w:ind w:left="360" w:right="-284"/>
      </w:pPr>
    </w:p>
    <w:p w14:paraId="1AD4B59D" w14:textId="77777777" w:rsidR="00AE1F7D" w:rsidRPr="00ED4FF1" w:rsidRDefault="00907B19" w:rsidP="00AE1F7D">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1AD4B59E" w14:textId="77777777" w:rsidR="00AE1F7D" w:rsidRPr="00201F8E" w:rsidRDefault="00907B19" w:rsidP="00AE1F7D">
      <w:pPr>
        <w:pStyle w:val="ListParagraph"/>
        <w:numPr>
          <w:ilvl w:val="0"/>
          <w:numId w:val="8"/>
        </w:numPr>
        <w:spacing w:after="0" w:line="240" w:lineRule="auto"/>
        <w:rPr>
          <w:rFonts w:ascii="Arial" w:eastAsia="Calibri" w:hAnsi="Arial" w:cs="Times New Roman"/>
        </w:rPr>
      </w:pPr>
      <w:r w:rsidRPr="00201F8E">
        <w:rPr>
          <w:rFonts w:ascii="Arial" w:eastAsia="Calibri" w:hAnsi="Arial" w:cs="Times New Roman"/>
        </w:rPr>
        <w:t xml:space="preserve">Equality and Diversity is embedded within the corporate strategy and how the </w:t>
      </w:r>
      <w:r>
        <w:rPr>
          <w:rFonts w:ascii="Arial" w:eastAsia="Calibri" w:hAnsi="Arial" w:cs="Times New Roman"/>
        </w:rPr>
        <w:t>C</w:t>
      </w:r>
      <w:r w:rsidRPr="00201F8E">
        <w:rPr>
          <w:rFonts w:ascii="Arial" w:eastAsia="Calibri" w:hAnsi="Arial" w:cs="Times New Roman"/>
        </w:rPr>
        <w:t>ouncil acts. An equality impact assessment was undertaken as part of the corporate plan refresh and each individual project will have its own equality impact assessment which are being revised and reassessed during quarter three.</w:t>
      </w:r>
    </w:p>
    <w:p w14:paraId="1AD4B59F" w14:textId="77777777" w:rsidR="00AE1F7D" w:rsidRDefault="00907B19" w:rsidP="00AE1F7D">
      <w:pPr>
        <w:pStyle w:val="Heading2"/>
        <w:rPr>
          <w:rFonts w:asciiTheme="majorHAnsi" w:hAnsiTheme="majorHAnsi" w:cstheme="majorHAnsi"/>
          <w:sz w:val="22"/>
          <w:szCs w:val="22"/>
        </w:rPr>
      </w:pPr>
      <w:r>
        <w:rPr>
          <w:rFonts w:asciiTheme="majorHAnsi" w:hAnsiTheme="majorHAnsi" w:cstheme="majorHAnsi"/>
          <w:sz w:val="22"/>
          <w:szCs w:val="22"/>
        </w:rPr>
        <w:t>Risk</w:t>
      </w:r>
    </w:p>
    <w:p w14:paraId="1AD4B5A0" w14:textId="77777777" w:rsidR="00AE1F7D" w:rsidRDefault="00907B19" w:rsidP="00AE1F7D">
      <w:pPr>
        <w:pStyle w:val="ListParagraph"/>
        <w:numPr>
          <w:ilvl w:val="0"/>
          <w:numId w:val="8"/>
        </w:numPr>
        <w:spacing w:after="0" w:line="240" w:lineRule="auto"/>
        <w:rPr>
          <w:rFonts w:ascii="Arial" w:eastAsia="Calibri" w:hAnsi="Arial" w:cs="Times New Roman"/>
        </w:rPr>
      </w:pPr>
      <w:r w:rsidRPr="00201F8E">
        <w:rPr>
          <w:rFonts w:ascii="Arial" w:eastAsia="Calibri" w:hAnsi="Arial" w:cs="Times New Roman"/>
        </w:rPr>
        <w:t xml:space="preserve">Risk registers are being completed for each project which will inform the wider risk assessment on an ongoing basis for the corporate strategy. </w:t>
      </w:r>
    </w:p>
    <w:p w14:paraId="1AD4B5A1" w14:textId="77777777" w:rsidR="00AE1F7D" w:rsidRDefault="007474A4" w:rsidP="00AE1F7D">
      <w:pPr>
        <w:pStyle w:val="ListParagraph"/>
        <w:spacing w:after="0" w:line="240" w:lineRule="auto"/>
        <w:ind w:left="360"/>
        <w:rPr>
          <w:rFonts w:ascii="Arial" w:eastAsia="Calibri" w:hAnsi="Arial" w:cs="Times New Roman"/>
        </w:rPr>
      </w:pPr>
    </w:p>
    <w:p w14:paraId="1AD4B5A2" w14:textId="77777777" w:rsidR="00AE1F7D" w:rsidRDefault="00907B19" w:rsidP="00AE1F7D">
      <w:pPr>
        <w:pStyle w:val="ListParagraph"/>
        <w:numPr>
          <w:ilvl w:val="0"/>
          <w:numId w:val="8"/>
        </w:numPr>
        <w:spacing w:after="0" w:line="240" w:lineRule="auto"/>
        <w:rPr>
          <w:rFonts w:ascii="Arial" w:eastAsia="Calibri" w:hAnsi="Arial" w:cs="Times New Roman"/>
        </w:rPr>
      </w:pPr>
      <w:r w:rsidRPr="00201F8E">
        <w:rPr>
          <w:rFonts w:ascii="Arial" w:eastAsia="Calibri" w:hAnsi="Arial" w:cs="Times New Roman"/>
        </w:rPr>
        <w:t xml:space="preserve">In considering the risk to the overall corporate strategy programme, the number of green rated projects provides a positive outlook and confidence in delivery. Proactive management of risks around budgets and the impact of Covid recovery remain a focus of the programme board when reviewing progress each quarter. </w:t>
      </w:r>
    </w:p>
    <w:p w14:paraId="1AD4B5A3" w14:textId="77777777" w:rsidR="00AE1F7D" w:rsidRPr="00201F8E" w:rsidRDefault="007474A4" w:rsidP="00AE1F7D">
      <w:pPr>
        <w:spacing w:after="0" w:line="240" w:lineRule="auto"/>
        <w:rPr>
          <w:rFonts w:ascii="Arial" w:eastAsia="Calibri" w:hAnsi="Arial" w:cs="Times New Roman"/>
        </w:rPr>
      </w:pPr>
    </w:p>
    <w:p w14:paraId="1AD4B5A4" w14:textId="77777777" w:rsidR="00AE1F7D" w:rsidRPr="00E05771" w:rsidRDefault="00907B19" w:rsidP="00AE1F7D">
      <w:pPr>
        <w:pStyle w:val="Heading2"/>
        <w:spacing w:before="0" w:beforeAutospacing="0"/>
        <w:rPr>
          <w:rFonts w:asciiTheme="majorHAnsi" w:hAnsiTheme="majorHAnsi" w:cstheme="majorHAnsi"/>
          <w:sz w:val="22"/>
          <w:szCs w:val="22"/>
        </w:rPr>
      </w:pPr>
      <w:r w:rsidRPr="00E05771">
        <w:rPr>
          <w:rFonts w:asciiTheme="majorHAnsi" w:hAnsiTheme="majorHAnsi" w:cstheme="majorHAnsi"/>
          <w:sz w:val="22"/>
          <w:szCs w:val="22"/>
        </w:rPr>
        <w:t>Comments of the Statutory Finance Officer</w:t>
      </w:r>
    </w:p>
    <w:p w14:paraId="1AD4B5A5" w14:textId="77777777" w:rsidR="00AE1F7D" w:rsidRPr="00FE4DEF" w:rsidRDefault="00907B19" w:rsidP="00AE1F7D">
      <w:pPr>
        <w:pStyle w:val="ListParagraph"/>
        <w:numPr>
          <w:ilvl w:val="0"/>
          <w:numId w:val="8"/>
        </w:numPr>
        <w:rPr>
          <w:rFonts w:cstheme="minorHAnsi"/>
          <w:bCs/>
          <w:iCs/>
        </w:rPr>
      </w:pPr>
      <w:r w:rsidRPr="00FE4DEF">
        <w:rPr>
          <w:rFonts w:cstheme="minorHAnsi"/>
          <w:bCs/>
          <w:iCs/>
        </w:rPr>
        <w:t>The delivery of Corporate Priority Projects are supported by budgets included within the Medium</w:t>
      </w:r>
      <w:r>
        <w:rPr>
          <w:rFonts w:cstheme="minorHAnsi"/>
          <w:bCs/>
          <w:iCs/>
        </w:rPr>
        <w:t>-Term</w:t>
      </w:r>
      <w:r w:rsidRPr="00FE4DEF">
        <w:rPr>
          <w:rFonts w:cstheme="minorHAnsi"/>
          <w:bCs/>
          <w:iCs/>
        </w:rPr>
        <w:t xml:space="preserve"> Financial Strategy</w:t>
      </w:r>
      <w:r>
        <w:rPr>
          <w:rFonts w:cstheme="minorHAnsi"/>
          <w:bCs/>
          <w:iCs/>
        </w:rPr>
        <w:t>.</w:t>
      </w:r>
    </w:p>
    <w:p w14:paraId="1AD4B5A6" w14:textId="77777777" w:rsidR="00AE1F7D" w:rsidRPr="00ED4FF1" w:rsidRDefault="00907B19" w:rsidP="00AE1F7D">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1AD4B5A7" w14:textId="77777777" w:rsidR="00AE1F7D" w:rsidRPr="00400648" w:rsidRDefault="00907B19" w:rsidP="00AE1F7D">
      <w:pPr>
        <w:pStyle w:val="ListParagraph"/>
        <w:numPr>
          <w:ilvl w:val="0"/>
          <w:numId w:val="8"/>
        </w:numPr>
        <w:rPr>
          <w:rFonts w:cstheme="minorHAnsi"/>
          <w:bCs/>
          <w:iCs/>
        </w:rPr>
      </w:pPr>
      <w:r w:rsidRPr="00365014">
        <w:rPr>
          <w:rFonts w:cstheme="minorHAnsi"/>
          <w:bCs/>
          <w:iCs/>
        </w:rPr>
        <w:t>Th</w:t>
      </w:r>
      <w:r w:rsidRPr="00400648">
        <w:rPr>
          <w:rFonts w:cstheme="minorHAnsi"/>
          <w:bCs/>
          <w:iCs/>
        </w:rPr>
        <w:t xml:space="preserve">ere are no concerns to raise from a Monitoring Officer perspective. </w:t>
      </w:r>
      <w:r>
        <w:rPr>
          <w:rFonts w:cstheme="minorHAnsi"/>
          <w:bCs/>
          <w:iCs/>
        </w:rPr>
        <w:t>The report is for noting. It is part of our commitment to act in an open and transparent manner.</w:t>
      </w:r>
    </w:p>
    <w:p w14:paraId="1AD4B5A8" w14:textId="77777777" w:rsidR="00AE1F7D" w:rsidRDefault="00907B19" w:rsidP="00AE1F7D">
      <w:pPr>
        <w:rPr>
          <w:rFonts w:eastAsia="Times New Roman" w:cstheme="minorHAnsi"/>
          <w:b/>
          <w:bCs/>
          <w:color w:val="000000" w:themeColor="text1"/>
          <w:kern w:val="36"/>
          <w:sz w:val="14"/>
          <w:szCs w:val="14"/>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1AD4B5A9" w14:textId="77777777" w:rsidR="00AE1F7D" w:rsidRDefault="00907B19" w:rsidP="00AE1F7D">
      <w:pPr>
        <w:pStyle w:val="ListParagraph"/>
        <w:numPr>
          <w:ilvl w:val="0"/>
          <w:numId w:val="16"/>
        </w:numPr>
        <w:spacing w:after="0" w:line="240" w:lineRule="auto"/>
        <w:ind w:left="1134" w:hanging="425"/>
        <w:rPr>
          <w:rFonts w:ascii="Arial" w:eastAsia="Calibri" w:hAnsi="Arial" w:cs="Times New Roman"/>
        </w:rPr>
      </w:pPr>
      <w:r w:rsidRPr="009C1168">
        <w:rPr>
          <w:rFonts w:ascii="Arial" w:eastAsia="Calibri" w:hAnsi="Arial" w:cs="Times New Roman"/>
        </w:rPr>
        <w:t>Corporate Plan, approved 30th September 2020</w:t>
      </w:r>
    </w:p>
    <w:p w14:paraId="1AD4B5AA" w14:textId="77777777" w:rsidR="00AE1F7D" w:rsidRPr="00201F8E" w:rsidRDefault="007474A4" w:rsidP="00AE1F7D">
      <w:pPr>
        <w:spacing w:after="0" w:line="240" w:lineRule="auto"/>
        <w:rPr>
          <w:rFonts w:ascii="Arial" w:eastAsia="Calibri" w:hAnsi="Arial" w:cs="Times New Roman"/>
        </w:rPr>
      </w:pPr>
    </w:p>
    <w:p w14:paraId="1AD4B5AB" w14:textId="77777777" w:rsidR="00AE1F7D" w:rsidRPr="00ED4FF1" w:rsidRDefault="00907B19" w:rsidP="00AE1F7D">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1AD4B5AC" w14:textId="77777777" w:rsidR="00AE1F7D" w:rsidRPr="009C1168" w:rsidRDefault="00907B19" w:rsidP="00AE1F7D">
      <w:pPr>
        <w:pStyle w:val="ListParagraph"/>
        <w:numPr>
          <w:ilvl w:val="0"/>
          <w:numId w:val="16"/>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1 - Performance of the Corporate Strategy Measures </w:t>
      </w:r>
    </w:p>
    <w:p w14:paraId="1AD4B5AD" w14:textId="77777777" w:rsidR="00AE1F7D" w:rsidRDefault="00907B19" w:rsidP="00AE1F7D">
      <w:pPr>
        <w:pStyle w:val="ListParagraph"/>
        <w:numPr>
          <w:ilvl w:val="0"/>
          <w:numId w:val="16"/>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2 - Key Organisational Performance Measures </w:t>
      </w:r>
    </w:p>
    <w:p w14:paraId="1AD4B5AE" w14:textId="77777777" w:rsidR="00AE1F7D" w:rsidRDefault="007474A4" w:rsidP="00AE1F7D">
      <w:pPr>
        <w:spacing w:after="0" w:line="240" w:lineRule="auto"/>
        <w:rPr>
          <w:rFonts w:ascii="Arial" w:eastAsia="Calibri" w:hAnsi="Arial" w:cs="Times New Roma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2073"/>
        <w:gridCol w:w="1329"/>
        <w:gridCol w:w="1418"/>
      </w:tblGrid>
      <w:tr w:rsidR="00066063" w14:paraId="1AD4B5B3" w14:textId="77777777" w:rsidTr="00AE1F7D">
        <w:tc>
          <w:tcPr>
            <w:tcW w:w="4565" w:type="dxa"/>
            <w:tcBorders>
              <w:top w:val="single" w:sz="4" w:space="0" w:color="auto"/>
              <w:left w:val="single" w:sz="4" w:space="0" w:color="auto"/>
              <w:bottom w:val="single" w:sz="4" w:space="0" w:color="auto"/>
              <w:right w:val="single" w:sz="4" w:space="0" w:color="auto"/>
            </w:tcBorders>
            <w:shd w:val="clear" w:color="auto" w:fill="auto"/>
          </w:tcPr>
          <w:p w14:paraId="1AD4B5AF" w14:textId="77777777" w:rsidR="00AE1F7D" w:rsidRPr="00D4431F" w:rsidRDefault="00907B19" w:rsidP="00AE1F7D">
            <w:pPr>
              <w:spacing w:line="240" w:lineRule="auto"/>
              <w:jc w:val="both"/>
              <w:rPr>
                <w:rFonts w:cstheme="minorHAnsi"/>
                <w:bCs/>
              </w:rPr>
            </w:pPr>
            <w:r w:rsidRPr="00D4431F">
              <w:rPr>
                <w:rFonts w:cstheme="minorHAnsi"/>
                <w:bCs/>
              </w:rPr>
              <w:t>Report Author:</w:t>
            </w:r>
          </w:p>
        </w:tc>
        <w:tc>
          <w:tcPr>
            <w:tcW w:w="2073" w:type="dxa"/>
            <w:tcBorders>
              <w:top w:val="single" w:sz="4" w:space="0" w:color="auto"/>
              <w:left w:val="single" w:sz="4" w:space="0" w:color="auto"/>
              <w:bottom w:val="single" w:sz="4" w:space="0" w:color="auto"/>
              <w:right w:val="single" w:sz="4" w:space="0" w:color="auto"/>
            </w:tcBorders>
          </w:tcPr>
          <w:p w14:paraId="1AD4B5B0" w14:textId="77777777" w:rsidR="00AE1F7D" w:rsidRPr="00D4431F" w:rsidRDefault="00907B19" w:rsidP="00AE1F7D">
            <w:pPr>
              <w:spacing w:line="240" w:lineRule="auto"/>
              <w:jc w:val="both"/>
              <w:rPr>
                <w:rFonts w:cstheme="minorHAnsi"/>
                <w:bCs/>
              </w:rPr>
            </w:pPr>
            <w:r w:rsidRPr="00D4431F">
              <w:rPr>
                <w:rFonts w:cstheme="minorHAnsi"/>
                <w:bCs/>
              </w:rPr>
              <w:t>Email:</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AD4B5B1" w14:textId="77777777" w:rsidR="00AE1F7D" w:rsidRPr="00D4431F" w:rsidRDefault="00907B19" w:rsidP="00AE1F7D">
            <w:pPr>
              <w:spacing w:line="240" w:lineRule="auto"/>
              <w:jc w:val="both"/>
              <w:rPr>
                <w:rFonts w:cstheme="minorHAnsi"/>
                <w:bCs/>
              </w:rPr>
            </w:pPr>
            <w:r w:rsidRPr="00D4431F">
              <w:rPr>
                <w:rFonts w:cstheme="minorHAnsi"/>
                <w:bCs/>
              </w:rPr>
              <w:t>Telephone: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D4B5B2" w14:textId="77777777" w:rsidR="00AE1F7D" w:rsidRPr="00D4431F" w:rsidRDefault="00907B19" w:rsidP="00AE1F7D">
            <w:pPr>
              <w:spacing w:line="240" w:lineRule="auto"/>
              <w:jc w:val="both"/>
              <w:rPr>
                <w:rFonts w:cstheme="minorHAnsi"/>
                <w:bCs/>
              </w:rPr>
            </w:pPr>
            <w:r w:rsidRPr="00D4431F">
              <w:rPr>
                <w:rFonts w:cstheme="minorHAnsi"/>
                <w:bCs/>
              </w:rPr>
              <w:t>Date:</w:t>
            </w:r>
          </w:p>
        </w:tc>
      </w:tr>
      <w:tr w:rsidR="00066063" w14:paraId="1AD4B5BA" w14:textId="77777777" w:rsidTr="00AE1F7D">
        <w:trPr>
          <w:trHeight w:val="1404"/>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1AD4B5B4" w14:textId="77777777" w:rsidR="00AE1F7D" w:rsidRDefault="00907B19" w:rsidP="00AE1F7D">
            <w:pPr>
              <w:spacing w:after="0" w:line="240" w:lineRule="auto"/>
              <w:rPr>
                <w:rFonts w:cstheme="minorHAnsi"/>
                <w:bCs/>
              </w:rPr>
            </w:pPr>
            <w:r w:rsidRPr="009C1168">
              <w:rPr>
                <w:rFonts w:cstheme="minorHAnsi"/>
                <w:bCs/>
              </w:rPr>
              <w:t>Howard</w:t>
            </w:r>
            <w:r>
              <w:rPr>
                <w:rFonts w:cstheme="minorHAnsi"/>
                <w:bCs/>
              </w:rPr>
              <w:t xml:space="preserve"> </w:t>
            </w:r>
            <w:r w:rsidRPr="009C1168">
              <w:rPr>
                <w:rFonts w:cstheme="minorHAnsi"/>
                <w:bCs/>
              </w:rPr>
              <w:t>Anthony</w:t>
            </w:r>
            <w:r>
              <w:rPr>
                <w:rFonts w:cstheme="minorHAnsi"/>
                <w:bCs/>
              </w:rPr>
              <w:t xml:space="preserve"> (</w:t>
            </w:r>
            <w:r w:rsidRPr="009C1168">
              <w:rPr>
                <w:rFonts w:cstheme="minorHAnsi"/>
                <w:bCs/>
              </w:rPr>
              <w:t>Shared Service Performance and Partnership Team Leader</w:t>
            </w:r>
            <w:r>
              <w:rPr>
                <w:rFonts w:cstheme="minorHAnsi"/>
                <w:bCs/>
              </w:rPr>
              <w:t>)</w:t>
            </w:r>
            <w:r w:rsidRPr="009C1168">
              <w:rPr>
                <w:rFonts w:cstheme="minorHAnsi"/>
                <w:bCs/>
              </w:rPr>
              <w:t>,</w:t>
            </w:r>
          </w:p>
          <w:p w14:paraId="1AD4B5B5" w14:textId="77777777" w:rsidR="00AE1F7D" w:rsidRPr="009C1168" w:rsidRDefault="00907B19" w:rsidP="00AE1F7D">
            <w:pPr>
              <w:spacing w:after="0" w:line="240" w:lineRule="auto"/>
              <w:rPr>
                <w:rFonts w:cstheme="minorHAnsi"/>
                <w:bCs/>
              </w:rPr>
            </w:pPr>
            <w:r w:rsidRPr="009C1168">
              <w:rPr>
                <w:rFonts w:cstheme="minorHAnsi"/>
                <w:bCs/>
              </w:rPr>
              <w:t>Michael Johnson</w:t>
            </w:r>
            <w:r>
              <w:rPr>
                <w:rFonts w:cstheme="minorHAnsi"/>
                <w:bCs/>
              </w:rPr>
              <w:t xml:space="preserve"> (</w:t>
            </w:r>
            <w:r w:rsidRPr="009C1168">
              <w:rPr>
                <w:rFonts w:cstheme="minorHAnsi"/>
                <w:bCs/>
              </w:rPr>
              <w:t>Shared Service Performance and Policy Officer)</w:t>
            </w:r>
          </w:p>
        </w:tc>
        <w:tc>
          <w:tcPr>
            <w:tcW w:w="2073" w:type="dxa"/>
            <w:tcBorders>
              <w:top w:val="single" w:sz="4" w:space="0" w:color="auto"/>
              <w:left w:val="single" w:sz="4" w:space="0" w:color="auto"/>
              <w:bottom w:val="single" w:sz="4" w:space="0" w:color="auto"/>
              <w:right w:val="single" w:sz="4" w:space="0" w:color="auto"/>
            </w:tcBorders>
          </w:tcPr>
          <w:p w14:paraId="1AD4B5B6" w14:textId="77777777" w:rsidR="00AE1F7D" w:rsidRDefault="007474A4" w:rsidP="00AE1F7D">
            <w:pPr>
              <w:spacing w:line="240" w:lineRule="auto"/>
              <w:jc w:val="both"/>
              <w:rPr>
                <w:rFonts w:cstheme="minorHAnsi"/>
                <w:bCs/>
              </w:rPr>
            </w:pPr>
            <w:hyperlink r:id="rId18" w:history="1">
              <w:r w:rsidR="00907B19" w:rsidRPr="00201F8E">
                <w:rPr>
                  <w:rStyle w:val="Hyperlink"/>
                  <w:rFonts w:cstheme="minorHAnsi"/>
                  <w:bCs/>
                </w:rPr>
                <w:t>Howard.anthony@southribble.gov.uk</w:t>
              </w:r>
            </w:hyperlink>
            <w:r w:rsidR="00907B19">
              <w:rPr>
                <w:rFonts w:cstheme="minorHAnsi"/>
                <w:bCs/>
              </w:rPr>
              <w:t>,</w:t>
            </w:r>
          </w:p>
          <w:p w14:paraId="1AD4B5B7" w14:textId="77777777" w:rsidR="00AE1F7D" w:rsidRDefault="007474A4" w:rsidP="00AE1F7D">
            <w:pPr>
              <w:spacing w:line="240" w:lineRule="auto"/>
              <w:jc w:val="both"/>
              <w:rPr>
                <w:rFonts w:cstheme="minorHAnsi"/>
                <w:bCs/>
              </w:rPr>
            </w:pPr>
            <w:hyperlink r:id="rId19" w:history="1">
              <w:r w:rsidR="00907B19" w:rsidRPr="00201F8E">
                <w:rPr>
                  <w:rStyle w:val="Hyperlink"/>
                  <w:rFonts w:cstheme="minorHAnsi"/>
                  <w:bCs/>
                </w:rPr>
                <w:t>Michael.johnson@southribble.gov.uk</w:t>
              </w:r>
            </w:hyperlink>
            <w:r w:rsidR="00907B19">
              <w:rPr>
                <w:rFonts w:cstheme="minorHAnsi"/>
                <w:bCs/>
              </w:rPr>
              <w:t>,</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AD4B5B8" w14:textId="77777777" w:rsidR="00AE1F7D" w:rsidRPr="00D4431F" w:rsidRDefault="00907B19" w:rsidP="00AE1F7D">
            <w:pPr>
              <w:spacing w:line="240" w:lineRule="auto"/>
              <w:jc w:val="both"/>
              <w:rPr>
                <w:rFonts w:cstheme="minorHAnsi"/>
                <w:bCs/>
              </w:rPr>
            </w:pPr>
            <w:r w:rsidRPr="009C1168">
              <w:rPr>
                <w:rFonts w:cstheme="minorHAnsi"/>
                <w:bCs/>
              </w:rPr>
              <w:t>01772 625546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D4B5B9" w14:textId="77777777" w:rsidR="00AE1F7D" w:rsidRDefault="00907B19" w:rsidP="00AE1F7D">
            <w:pPr>
              <w:spacing w:line="240" w:lineRule="auto"/>
              <w:jc w:val="both"/>
              <w:rPr>
                <w:rFonts w:cstheme="minorHAnsi"/>
                <w:bCs/>
              </w:rPr>
            </w:pPr>
            <w:r>
              <w:rPr>
                <w:rFonts w:cstheme="minorHAnsi"/>
                <w:bCs/>
              </w:rPr>
              <w:t>13</w:t>
            </w:r>
            <w:r w:rsidRPr="00216907">
              <w:rPr>
                <w:rFonts w:cstheme="minorHAnsi"/>
                <w:bCs/>
              </w:rPr>
              <w:t>/</w:t>
            </w:r>
            <w:r>
              <w:rPr>
                <w:rFonts w:cstheme="minorHAnsi"/>
                <w:bCs/>
              </w:rPr>
              <w:t>10</w:t>
            </w:r>
            <w:r w:rsidRPr="00216907">
              <w:rPr>
                <w:rFonts w:cstheme="minorHAnsi"/>
                <w:bCs/>
              </w:rPr>
              <w:t>/2021</w:t>
            </w:r>
          </w:p>
        </w:tc>
      </w:tr>
    </w:tbl>
    <w:p w14:paraId="1AD4B5BB" w14:textId="77777777" w:rsidR="00AE1F7D" w:rsidRDefault="007474A4">
      <w:pPr>
        <w:rPr>
          <w:rFonts w:cstheme="minorHAnsi"/>
          <w:bCs/>
          <w:color w:val="000000" w:themeColor="text1"/>
          <w:lang w:val="en-US"/>
        </w:rPr>
      </w:pPr>
    </w:p>
    <w:p w14:paraId="1AD4B5BC" w14:textId="77777777" w:rsidR="00AE1F7D" w:rsidRDefault="007474A4">
      <w:pPr>
        <w:rPr>
          <w:rFonts w:cstheme="minorHAnsi"/>
          <w:bCs/>
          <w:color w:val="000000" w:themeColor="text1"/>
          <w:lang w:val="en-US"/>
        </w:rPr>
        <w:sectPr w:rsidR="00AE1F7D" w:rsidSect="00AE1F7D">
          <w:pgSz w:w="11906" w:h="16838"/>
          <w:pgMar w:top="1440" w:right="1440" w:bottom="1440" w:left="1440" w:header="708" w:footer="708" w:gutter="0"/>
          <w:cols w:space="708"/>
          <w:docGrid w:linePitch="360"/>
        </w:sectPr>
      </w:pPr>
    </w:p>
    <w:p w14:paraId="1AD4B5BD" w14:textId="77777777" w:rsidR="00AE1F7D" w:rsidRDefault="00907B19">
      <w:pPr>
        <w:pStyle w:val="Heading2"/>
        <w:spacing w:before="0" w:beforeAutospacing="0"/>
        <w:ind w:left="-284"/>
        <w:rPr>
          <w:rFonts w:asciiTheme="majorHAnsi" w:hAnsiTheme="majorHAnsi" w:cstheme="majorHAnsi"/>
          <w:sz w:val="22"/>
          <w:szCs w:val="22"/>
        </w:rPr>
      </w:pPr>
      <w:r w:rsidRPr="00887342">
        <w:rPr>
          <w:rFonts w:asciiTheme="majorHAnsi" w:hAnsiTheme="majorHAnsi" w:cstheme="majorHAnsi"/>
          <w:sz w:val="22"/>
          <w:szCs w:val="22"/>
        </w:rPr>
        <w:lastRenderedPageBreak/>
        <w:t>Appendix 1 – Performance of the Corporate Strategy Measures</w:t>
      </w:r>
    </w:p>
    <w:tbl>
      <w:tblPr>
        <w:tblW w:w="95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665"/>
        <w:gridCol w:w="605"/>
        <w:gridCol w:w="2658"/>
        <w:gridCol w:w="609"/>
        <w:gridCol w:w="2425"/>
      </w:tblGrid>
      <w:tr w:rsidR="00066063" w14:paraId="1AD4B5C4" w14:textId="77777777" w:rsidTr="00AE1F7D">
        <w:trPr>
          <w:trHeight w:val="272"/>
        </w:trPr>
        <w:tc>
          <w:tcPr>
            <w:tcW w:w="598" w:type="dxa"/>
            <w:tcBorders>
              <w:right w:val="nil"/>
            </w:tcBorders>
            <w:shd w:val="clear" w:color="auto" w:fill="auto"/>
            <w:vAlign w:val="center"/>
          </w:tcPr>
          <w:p w14:paraId="1AD4B5BE" w14:textId="77777777" w:rsidR="00AE1F7D" w:rsidRPr="00F12C84" w:rsidRDefault="00907B19" w:rsidP="00AE1F7D">
            <w:pPr>
              <w:widowControl w:val="0"/>
              <w:spacing w:line="259" w:lineRule="auto"/>
              <w:contextualSpacing/>
              <w:jc w:val="center"/>
              <w:outlineLvl w:val="0"/>
              <w:rPr>
                <w:rFonts w:eastAsia="Arial" w:cs="Times New Roman"/>
                <w:b/>
                <w:color w:val="00B050"/>
              </w:rPr>
            </w:pPr>
            <w:r w:rsidRPr="00F12C84">
              <w:rPr>
                <w:rFonts w:ascii="Wingdings 3" w:eastAsia="Arial" w:hAnsi="Wingdings 3" w:cs="Times New Roman"/>
                <w:color w:val="FF0000"/>
                <w:sz w:val="32"/>
              </w:rPr>
              <w:sym w:font="Wingdings 3" w:char="F070"/>
            </w:r>
          </w:p>
        </w:tc>
        <w:tc>
          <w:tcPr>
            <w:tcW w:w="2665" w:type="dxa"/>
            <w:tcBorders>
              <w:left w:val="nil"/>
            </w:tcBorders>
            <w:shd w:val="clear" w:color="auto" w:fill="auto"/>
            <w:vAlign w:val="center"/>
          </w:tcPr>
          <w:p w14:paraId="1AD4B5BF" w14:textId="77777777" w:rsidR="00AE1F7D" w:rsidRPr="00F12C84" w:rsidRDefault="00907B19" w:rsidP="00AE1F7D">
            <w:pPr>
              <w:widowControl w:val="0"/>
              <w:spacing w:line="259" w:lineRule="auto"/>
              <w:contextualSpacing/>
              <w:outlineLvl w:val="0"/>
              <w:rPr>
                <w:rFonts w:eastAsia="Arial" w:cs="Times New Roman"/>
                <w:bCs/>
                <w:color w:val="000000"/>
              </w:rPr>
            </w:pPr>
            <w:r w:rsidRPr="002B2F14">
              <w:rPr>
                <w:rFonts w:eastAsia="Arial" w:cs="Times New Roman"/>
                <w:bCs/>
                <w:color w:val="000000"/>
                <w:sz w:val="20"/>
                <w:szCs w:val="20"/>
              </w:rPr>
              <w:t>Worse than target, outside threshold</w:t>
            </w:r>
          </w:p>
        </w:tc>
        <w:tc>
          <w:tcPr>
            <w:tcW w:w="605" w:type="dxa"/>
            <w:tcBorders>
              <w:right w:val="nil"/>
            </w:tcBorders>
          </w:tcPr>
          <w:p w14:paraId="1AD4B5C0" w14:textId="77777777" w:rsidR="00AE1F7D" w:rsidRPr="00F12C84" w:rsidRDefault="00907B19" w:rsidP="00AE1F7D">
            <w:pPr>
              <w:widowControl w:val="0"/>
              <w:spacing w:line="259" w:lineRule="auto"/>
              <w:contextualSpacing/>
              <w:jc w:val="center"/>
              <w:outlineLvl w:val="0"/>
              <w:rPr>
                <w:rFonts w:eastAsia="Arial" w:cs="Times New Roman"/>
                <w:bCs/>
                <w:color w:val="000000"/>
              </w:rPr>
            </w:pPr>
            <w:r w:rsidRPr="00F12C84">
              <w:rPr>
                <w:rFonts w:ascii="Wingdings" w:eastAsia="Arial" w:hAnsi="Wingdings" w:cs="Times New Roman"/>
                <w:color w:val="5B9BD5"/>
                <w:sz w:val="44"/>
              </w:rPr>
              <w:sym w:font="Wingdings" w:char="F06C"/>
            </w:r>
          </w:p>
        </w:tc>
        <w:tc>
          <w:tcPr>
            <w:tcW w:w="2658" w:type="dxa"/>
            <w:tcBorders>
              <w:left w:val="nil"/>
            </w:tcBorders>
          </w:tcPr>
          <w:p w14:paraId="1AD4B5C1" w14:textId="77777777" w:rsidR="00AE1F7D" w:rsidRPr="00F12C84" w:rsidRDefault="00907B19" w:rsidP="00AE1F7D">
            <w:pPr>
              <w:widowControl w:val="0"/>
              <w:spacing w:line="259" w:lineRule="auto"/>
              <w:contextualSpacing/>
              <w:outlineLvl w:val="0"/>
              <w:rPr>
                <w:rFonts w:eastAsia="Arial" w:cs="Times New Roman"/>
                <w:bCs/>
                <w:color w:val="000000"/>
              </w:rPr>
            </w:pPr>
            <w:r w:rsidRPr="002B2F14">
              <w:rPr>
                <w:rFonts w:eastAsia="Arial" w:cs="Times New Roman"/>
                <w:bCs/>
                <w:color w:val="000000"/>
                <w:sz w:val="20"/>
                <w:szCs w:val="20"/>
              </w:rPr>
              <w:t>Worse than target but within threshold (5%)</w:t>
            </w:r>
          </w:p>
        </w:tc>
        <w:tc>
          <w:tcPr>
            <w:tcW w:w="609" w:type="dxa"/>
            <w:tcBorders>
              <w:right w:val="nil"/>
            </w:tcBorders>
          </w:tcPr>
          <w:p w14:paraId="1AD4B5C2" w14:textId="77777777" w:rsidR="00AE1F7D" w:rsidRPr="00F12C84" w:rsidRDefault="00907B19" w:rsidP="00AE1F7D">
            <w:pPr>
              <w:widowControl w:val="0"/>
              <w:spacing w:line="259" w:lineRule="auto"/>
              <w:contextualSpacing/>
              <w:jc w:val="center"/>
              <w:outlineLvl w:val="0"/>
              <w:rPr>
                <w:rFonts w:eastAsia="Arial" w:cs="Times New Roman"/>
                <w:bCs/>
                <w:color w:val="000000"/>
              </w:rPr>
            </w:pPr>
            <w:r w:rsidRPr="00F12C84">
              <w:rPr>
                <w:rFonts w:ascii="Wingdings" w:eastAsia="Arial" w:hAnsi="Wingdings" w:cs="Times New Roman"/>
                <w:color w:val="00B050"/>
                <w:sz w:val="44"/>
              </w:rPr>
              <w:sym w:font="Wingdings" w:char="F0AB"/>
            </w:r>
          </w:p>
        </w:tc>
        <w:tc>
          <w:tcPr>
            <w:tcW w:w="2425" w:type="dxa"/>
            <w:tcBorders>
              <w:left w:val="nil"/>
            </w:tcBorders>
            <w:vAlign w:val="center"/>
          </w:tcPr>
          <w:p w14:paraId="1AD4B5C3" w14:textId="77777777" w:rsidR="00AE1F7D" w:rsidRPr="00F12C84" w:rsidRDefault="00907B19" w:rsidP="00AE1F7D">
            <w:pPr>
              <w:widowControl w:val="0"/>
              <w:spacing w:line="259" w:lineRule="auto"/>
              <w:contextualSpacing/>
              <w:outlineLvl w:val="0"/>
              <w:rPr>
                <w:rFonts w:eastAsia="Arial" w:cs="Times New Roman"/>
                <w:bCs/>
                <w:color w:val="000000"/>
              </w:rPr>
            </w:pPr>
            <w:r w:rsidRPr="002B2F14">
              <w:rPr>
                <w:rFonts w:eastAsia="Arial" w:cs="Times New Roman"/>
                <w:bCs/>
                <w:color w:val="000000"/>
                <w:sz w:val="20"/>
                <w:szCs w:val="20"/>
              </w:rPr>
              <w:t>Performance is better than target</w:t>
            </w:r>
          </w:p>
        </w:tc>
      </w:tr>
    </w:tbl>
    <w:tbl>
      <w:tblPr>
        <w:tblpPr w:leftFromText="180" w:rightFromText="180" w:vertAnchor="text" w:horzAnchor="margin" w:tblpXSpec="center" w:tblpY="251"/>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71"/>
        <w:gridCol w:w="1398"/>
        <w:gridCol w:w="1564"/>
        <w:gridCol w:w="1278"/>
        <w:gridCol w:w="1138"/>
        <w:gridCol w:w="1285"/>
      </w:tblGrid>
      <w:tr w:rsidR="00066063" w14:paraId="1AD4B5CD" w14:textId="77777777" w:rsidTr="00AE1F7D">
        <w:trPr>
          <w:trHeight w:val="701"/>
        </w:trPr>
        <w:tc>
          <w:tcPr>
            <w:tcW w:w="3114" w:type="dxa"/>
            <w:shd w:val="clear" w:color="auto" w:fill="BFBFBF"/>
            <w:vAlign w:val="center"/>
          </w:tcPr>
          <w:p w14:paraId="1AD4B5C5" w14:textId="77777777" w:rsidR="00AE1F7D" w:rsidRPr="00F12C84" w:rsidRDefault="00907B19" w:rsidP="00AE1F7D">
            <w:pPr>
              <w:widowControl w:val="0"/>
              <w:spacing w:after="0" w:line="240" w:lineRule="auto"/>
              <w:outlineLvl w:val="0"/>
              <w:rPr>
                <w:rFonts w:eastAsia="Calibri" w:cs="Times New Roman"/>
                <w:b/>
                <w:bCs/>
              </w:rPr>
            </w:pPr>
            <w:r w:rsidRPr="00F12C84">
              <w:rPr>
                <w:rFonts w:eastAsia="Calibri" w:cs="Times New Roman"/>
                <w:b/>
                <w:bCs/>
              </w:rPr>
              <w:t>Indicator Name</w:t>
            </w:r>
          </w:p>
        </w:tc>
        <w:tc>
          <w:tcPr>
            <w:tcW w:w="1171" w:type="dxa"/>
            <w:shd w:val="clear" w:color="auto" w:fill="BFBFBF"/>
            <w:vAlign w:val="center"/>
          </w:tcPr>
          <w:p w14:paraId="1AD4B5C6" w14:textId="77777777" w:rsidR="00AE1F7D" w:rsidRPr="00F12C84" w:rsidRDefault="00907B19" w:rsidP="00AE1F7D">
            <w:pPr>
              <w:widowControl w:val="0"/>
              <w:spacing w:after="0" w:line="240" w:lineRule="auto"/>
              <w:jc w:val="center"/>
              <w:outlineLvl w:val="0"/>
              <w:rPr>
                <w:rFonts w:eastAsia="Calibri" w:cs="Times New Roman"/>
                <w:b/>
                <w:bCs/>
              </w:rPr>
            </w:pPr>
            <w:r w:rsidRPr="00F12C84">
              <w:rPr>
                <w:rFonts w:eastAsia="Calibri" w:cs="Times New Roman"/>
                <w:b/>
                <w:bCs/>
              </w:rPr>
              <w:t>Polarity</w:t>
            </w:r>
          </w:p>
        </w:tc>
        <w:tc>
          <w:tcPr>
            <w:tcW w:w="1398" w:type="dxa"/>
            <w:shd w:val="clear" w:color="auto" w:fill="BFBFBF"/>
            <w:vAlign w:val="center"/>
          </w:tcPr>
          <w:p w14:paraId="1AD4B5C7" w14:textId="77777777" w:rsidR="00AE1F7D" w:rsidRPr="00F12C84" w:rsidRDefault="00907B19" w:rsidP="00AE1F7D">
            <w:pPr>
              <w:widowControl w:val="0"/>
              <w:spacing w:after="0" w:line="240" w:lineRule="auto"/>
              <w:jc w:val="center"/>
              <w:outlineLvl w:val="0"/>
              <w:rPr>
                <w:rFonts w:eastAsia="Calibri" w:cs="Times New Roman"/>
                <w:b/>
                <w:bCs/>
              </w:rPr>
            </w:pPr>
            <w:r w:rsidRPr="00F12C84">
              <w:rPr>
                <w:rFonts w:eastAsia="Calibri" w:cs="Times New Roman"/>
                <w:b/>
                <w:bCs/>
              </w:rPr>
              <w:t>Target</w:t>
            </w:r>
          </w:p>
        </w:tc>
        <w:tc>
          <w:tcPr>
            <w:tcW w:w="1564" w:type="dxa"/>
            <w:shd w:val="clear" w:color="auto" w:fill="BFBFBF" w:themeFill="background1" w:themeFillShade="BF"/>
            <w:vAlign w:val="center"/>
          </w:tcPr>
          <w:p w14:paraId="1AD4B5C8" w14:textId="77777777" w:rsidR="00AE1F7D" w:rsidRPr="00F12C84" w:rsidRDefault="00907B19" w:rsidP="00AE1F7D">
            <w:pPr>
              <w:widowControl w:val="0"/>
              <w:spacing w:after="0" w:line="240" w:lineRule="auto"/>
              <w:jc w:val="center"/>
              <w:outlineLvl w:val="0"/>
              <w:rPr>
                <w:rFonts w:eastAsia="Calibri" w:cs="Times New Roman"/>
                <w:b/>
                <w:bCs/>
              </w:rPr>
            </w:pPr>
            <w:r>
              <w:rPr>
                <w:rFonts w:eastAsia="Calibri" w:cs="Times New Roman"/>
                <w:b/>
                <w:bCs/>
              </w:rPr>
              <w:t>Comparison</w:t>
            </w:r>
          </w:p>
        </w:tc>
        <w:tc>
          <w:tcPr>
            <w:tcW w:w="1278" w:type="dxa"/>
            <w:shd w:val="clear" w:color="auto" w:fill="BFBFBF" w:themeFill="background1" w:themeFillShade="BF"/>
            <w:vAlign w:val="center"/>
          </w:tcPr>
          <w:p w14:paraId="1AD4B5C9" w14:textId="77777777" w:rsidR="00AE1F7D" w:rsidRPr="00F12C84" w:rsidRDefault="00907B19" w:rsidP="00AE1F7D">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2</w:t>
            </w:r>
          </w:p>
          <w:p w14:paraId="1AD4B5CA" w14:textId="77777777" w:rsidR="00AE1F7D" w:rsidRPr="00F12C84" w:rsidRDefault="00907B19" w:rsidP="00AE1F7D">
            <w:pPr>
              <w:widowControl w:val="0"/>
              <w:spacing w:after="0" w:line="240" w:lineRule="auto"/>
              <w:jc w:val="center"/>
              <w:outlineLvl w:val="0"/>
              <w:rPr>
                <w:rFonts w:eastAsia="Calibri" w:cs="Times New Roman"/>
                <w:b/>
                <w:bCs/>
              </w:rPr>
            </w:pPr>
            <w:r w:rsidRPr="00F12C84">
              <w:rPr>
                <w:rFonts w:eastAsia="Calibri" w:cs="Times New Roman"/>
                <w:b/>
                <w:bCs/>
              </w:rPr>
              <w:t>202</w:t>
            </w:r>
            <w:r>
              <w:rPr>
                <w:rFonts w:eastAsia="Calibri" w:cs="Times New Roman"/>
                <w:b/>
                <w:bCs/>
              </w:rPr>
              <w:t>1/22</w:t>
            </w:r>
          </w:p>
        </w:tc>
        <w:tc>
          <w:tcPr>
            <w:tcW w:w="1138" w:type="dxa"/>
            <w:shd w:val="clear" w:color="auto" w:fill="BFBFBF" w:themeFill="background1" w:themeFillShade="BF"/>
            <w:vAlign w:val="center"/>
          </w:tcPr>
          <w:p w14:paraId="1AD4B5CB" w14:textId="77777777" w:rsidR="00AE1F7D" w:rsidRPr="00F12C84" w:rsidRDefault="00907B19" w:rsidP="00AE1F7D">
            <w:pPr>
              <w:widowControl w:val="0"/>
              <w:spacing w:after="0" w:line="240" w:lineRule="auto"/>
              <w:jc w:val="center"/>
              <w:outlineLvl w:val="0"/>
              <w:rPr>
                <w:rFonts w:eastAsia="Calibri" w:cs="Times New Roman"/>
                <w:b/>
                <w:bCs/>
              </w:rPr>
            </w:pPr>
            <w:r w:rsidRPr="00F12C84">
              <w:rPr>
                <w:rFonts w:eastAsia="Calibri" w:cs="Times New Roman"/>
                <w:b/>
                <w:bCs/>
              </w:rPr>
              <w:t>Symbol</w:t>
            </w:r>
          </w:p>
        </w:tc>
        <w:tc>
          <w:tcPr>
            <w:tcW w:w="1285" w:type="dxa"/>
            <w:tcBorders>
              <w:right w:val="single" w:sz="8" w:space="0" w:color="auto"/>
            </w:tcBorders>
            <w:shd w:val="clear" w:color="auto" w:fill="BFBFBF" w:themeFill="background1" w:themeFillShade="BF"/>
            <w:vAlign w:val="center"/>
          </w:tcPr>
          <w:p w14:paraId="1AD4B5CC" w14:textId="77777777" w:rsidR="00AE1F7D" w:rsidRPr="00F12C84" w:rsidRDefault="00907B19" w:rsidP="00AE1F7D">
            <w:pPr>
              <w:widowControl w:val="0"/>
              <w:spacing w:after="0" w:line="240" w:lineRule="auto"/>
              <w:jc w:val="center"/>
              <w:outlineLvl w:val="0"/>
              <w:rPr>
                <w:rFonts w:eastAsia="Calibri" w:cs="Times New Roman"/>
                <w:b/>
                <w:bCs/>
              </w:rPr>
            </w:pPr>
            <w:r w:rsidRPr="00F12C84">
              <w:rPr>
                <w:rFonts w:eastAsia="Calibri" w:cs="Times New Roman"/>
                <w:b/>
                <w:bCs/>
              </w:rPr>
              <w:t>Trend</w:t>
            </w:r>
          </w:p>
        </w:tc>
      </w:tr>
      <w:tr w:rsidR="00066063" w14:paraId="1AD4B5CF" w14:textId="77777777" w:rsidTr="00AE1F7D">
        <w:trPr>
          <w:trHeight w:val="642"/>
        </w:trPr>
        <w:tc>
          <w:tcPr>
            <w:tcW w:w="10948" w:type="dxa"/>
            <w:gridSpan w:val="7"/>
            <w:tcBorders>
              <w:right w:val="single" w:sz="8" w:space="0" w:color="auto"/>
            </w:tcBorders>
            <w:vAlign w:val="center"/>
          </w:tcPr>
          <w:p w14:paraId="1AD4B5CE" w14:textId="77777777" w:rsidR="00AE1F7D" w:rsidRPr="00F12C84" w:rsidRDefault="00907B19" w:rsidP="00AE1F7D">
            <w:pPr>
              <w:widowControl w:val="0"/>
              <w:spacing w:line="256" w:lineRule="auto"/>
              <w:contextualSpacing/>
              <w:outlineLvl w:val="0"/>
              <w:rPr>
                <w:rFonts w:eastAsia="Calibri" w:cs="Times New Roman"/>
                <w:b/>
                <w:bCs/>
                <w:color w:val="FF0000"/>
                <w:sz w:val="24"/>
                <w:szCs w:val="24"/>
              </w:rPr>
            </w:pPr>
            <w:r w:rsidRPr="00F12C84">
              <w:rPr>
                <w:rFonts w:eastAsia="Calibri" w:cs="Times New Roman"/>
                <w:b/>
                <w:bCs/>
                <w:color w:val="0070C0"/>
                <w:sz w:val="24"/>
                <w:szCs w:val="24"/>
              </w:rPr>
              <w:t>An Exemplary Council</w:t>
            </w:r>
          </w:p>
        </w:tc>
      </w:tr>
      <w:tr w:rsidR="00066063" w14:paraId="1AD4B5D8" w14:textId="77777777" w:rsidTr="00AE1F7D">
        <w:trPr>
          <w:trHeight w:val="642"/>
        </w:trPr>
        <w:tc>
          <w:tcPr>
            <w:tcW w:w="3114" w:type="dxa"/>
            <w:shd w:val="clear" w:color="auto" w:fill="auto"/>
            <w:vAlign w:val="center"/>
          </w:tcPr>
          <w:p w14:paraId="1AD4B5D0" w14:textId="77777777" w:rsidR="00AE1F7D" w:rsidRPr="00F12C84" w:rsidRDefault="00907B19" w:rsidP="00AE1F7D">
            <w:pPr>
              <w:widowControl w:val="0"/>
              <w:spacing w:line="256" w:lineRule="auto"/>
              <w:contextualSpacing/>
              <w:outlineLvl w:val="0"/>
              <w:rPr>
                <w:rFonts w:eastAsia="Calibri" w:cs="Times New Roman"/>
              </w:rPr>
            </w:pPr>
            <w:bookmarkStart w:id="18" w:name="_Hlk78461540"/>
            <w:r w:rsidRPr="00F12C84">
              <w:rPr>
                <w:rFonts w:eastAsia="Calibri" w:cs="Times New Roman"/>
              </w:rPr>
              <w:t xml:space="preserve">At least 40% of service requests will be received via self-service channels </w:t>
            </w:r>
            <w:bookmarkEnd w:id="18"/>
          </w:p>
        </w:tc>
        <w:tc>
          <w:tcPr>
            <w:tcW w:w="1171" w:type="dxa"/>
            <w:vAlign w:val="center"/>
          </w:tcPr>
          <w:p w14:paraId="1AD4B5D1"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398" w:type="dxa"/>
            <w:shd w:val="clear" w:color="auto" w:fill="auto"/>
            <w:vAlign w:val="center"/>
          </w:tcPr>
          <w:p w14:paraId="1AD4B5D2" w14:textId="77777777" w:rsidR="00AE1F7D" w:rsidRPr="00F12C84" w:rsidRDefault="00907B19" w:rsidP="00AE1F7D">
            <w:pPr>
              <w:widowControl w:val="0"/>
              <w:spacing w:line="256" w:lineRule="auto"/>
              <w:contextualSpacing/>
              <w:jc w:val="center"/>
              <w:outlineLvl w:val="0"/>
              <w:rPr>
                <w:rFonts w:eastAsia="Calibri" w:cs="Times New Roman"/>
              </w:rPr>
            </w:pPr>
            <w:r>
              <w:rPr>
                <w:rFonts w:eastAsia="Calibri" w:cs="Times New Roman"/>
              </w:rPr>
              <w:t>40%</w:t>
            </w:r>
          </w:p>
        </w:tc>
        <w:tc>
          <w:tcPr>
            <w:tcW w:w="1564" w:type="dxa"/>
            <w:vAlign w:val="center"/>
          </w:tcPr>
          <w:p w14:paraId="1AD4B5D3" w14:textId="77777777" w:rsidR="00AE1F7D" w:rsidRDefault="00907B19" w:rsidP="00AE1F7D">
            <w:pPr>
              <w:widowControl w:val="0"/>
              <w:spacing w:line="256" w:lineRule="auto"/>
              <w:contextualSpacing/>
              <w:jc w:val="center"/>
              <w:outlineLvl w:val="0"/>
              <w:rPr>
                <w:rFonts w:eastAsia="Arial" w:cs="Times New Roman"/>
                <w:lang w:val="en-US"/>
              </w:rPr>
            </w:pPr>
            <w:r>
              <w:rPr>
                <w:rFonts w:eastAsia="Arial" w:cs="Times New Roman"/>
                <w:lang w:val="en-US"/>
              </w:rPr>
              <w:t>32.5</w:t>
            </w:r>
          </w:p>
          <w:p w14:paraId="1AD4B5D4" w14:textId="77777777" w:rsidR="00AE1F7D" w:rsidRDefault="00907B19" w:rsidP="00AE1F7D">
            <w:pPr>
              <w:widowControl w:val="0"/>
              <w:spacing w:line="256" w:lineRule="auto"/>
              <w:contextualSpacing/>
              <w:jc w:val="center"/>
              <w:outlineLvl w:val="0"/>
              <w:rPr>
                <w:rFonts w:eastAsia="Calibri" w:cs="Times New Roman"/>
                <w:b/>
                <w:bCs/>
              </w:rPr>
            </w:pPr>
            <w:r>
              <w:rPr>
                <w:rFonts w:eastAsia="Arial" w:cs="Times New Roman"/>
                <w:lang w:val="en-US"/>
              </w:rPr>
              <w:t>(Q1:2021/22)</w:t>
            </w:r>
          </w:p>
        </w:tc>
        <w:tc>
          <w:tcPr>
            <w:tcW w:w="1278" w:type="dxa"/>
            <w:vAlign w:val="center"/>
          </w:tcPr>
          <w:p w14:paraId="1AD4B5D5" w14:textId="77777777" w:rsidR="00AE1F7D" w:rsidRPr="00F12C84" w:rsidRDefault="00907B19" w:rsidP="00AE1F7D">
            <w:pPr>
              <w:widowControl w:val="0"/>
              <w:spacing w:line="256" w:lineRule="auto"/>
              <w:contextualSpacing/>
              <w:jc w:val="center"/>
              <w:outlineLvl w:val="0"/>
              <w:rPr>
                <w:rFonts w:eastAsia="Calibri" w:cs="Times New Roman"/>
                <w:b/>
                <w:bCs/>
              </w:rPr>
            </w:pPr>
            <w:r>
              <w:rPr>
                <w:rFonts w:eastAsia="Calibri" w:cs="Times New Roman"/>
                <w:b/>
                <w:bCs/>
              </w:rPr>
              <w:t>25.3%</w:t>
            </w:r>
          </w:p>
        </w:tc>
        <w:tc>
          <w:tcPr>
            <w:tcW w:w="1138" w:type="dxa"/>
            <w:shd w:val="clear" w:color="auto" w:fill="auto"/>
            <w:vAlign w:val="center"/>
          </w:tcPr>
          <w:p w14:paraId="1AD4B5D6" w14:textId="77777777" w:rsidR="00AE1F7D" w:rsidRPr="00F12C84" w:rsidRDefault="00907B19" w:rsidP="00AE1F7D">
            <w:pPr>
              <w:widowControl w:val="0"/>
              <w:spacing w:line="256" w:lineRule="auto"/>
              <w:contextualSpacing/>
              <w:jc w:val="center"/>
              <w:outlineLvl w:val="0"/>
              <w:rPr>
                <w:rFonts w:eastAsia="Arial" w:cs="Times New Roman"/>
                <w:lang w:val="en-US"/>
              </w:rPr>
            </w:pPr>
            <w:r w:rsidRPr="00F12C84">
              <w:rPr>
                <w:rFonts w:ascii="Wingdings 3" w:eastAsia="Arial" w:hAnsi="Wingdings 3" w:cs="Times New Roman"/>
                <w:color w:val="FF0000"/>
                <w:sz w:val="32"/>
              </w:rPr>
              <w:sym w:font="Wingdings 3" w:char="F070"/>
            </w:r>
          </w:p>
        </w:tc>
        <w:tc>
          <w:tcPr>
            <w:tcW w:w="1285" w:type="dxa"/>
            <w:tcBorders>
              <w:right w:val="single" w:sz="8" w:space="0" w:color="auto"/>
            </w:tcBorders>
            <w:shd w:val="clear" w:color="auto" w:fill="auto"/>
            <w:vAlign w:val="center"/>
          </w:tcPr>
          <w:p w14:paraId="1AD4B5D7" w14:textId="77777777" w:rsidR="00AE1F7D" w:rsidRPr="00495683" w:rsidRDefault="00907B19" w:rsidP="00AE1F7D">
            <w:pPr>
              <w:widowControl w:val="0"/>
              <w:spacing w:line="256" w:lineRule="auto"/>
              <w:contextualSpacing/>
              <w:jc w:val="center"/>
              <w:outlineLvl w:val="0"/>
              <w:rPr>
                <w:rFonts w:eastAsia="Calibri" w:cs="Times New Roman"/>
                <w:color w:val="FF0000"/>
                <w:sz w:val="16"/>
                <w:szCs w:val="16"/>
              </w:rPr>
            </w:pPr>
            <w:r w:rsidRPr="00495683">
              <w:rPr>
                <w:rFonts w:eastAsia="Calibri" w:cs="Times New Roman"/>
                <w:color w:val="FF0000"/>
                <w:sz w:val="20"/>
                <w:szCs w:val="20"/>
              </w:rPr>
              <w:t>Worse than Q</w:t>
            </w:r>
            <w:r>
              <w:rPr>
                <w:rFonts w:eastAsia="Calibri" w:cs="Times New Roman"/>
                <w:color w:val="FF0000"/>
                <w:sz w:val="20"/>
                <w:szCs w:val="20"/>
              </w:rPr>
              <w:t>2</w:t>
            </w:r>
            <w:r w:rsidRPr="00495683">
              <w:rPr>
                <w:rFonts w:eastAsia="Calibri" w:cs="Times New Roman"/>
                <w:color w:val="FF0000"/>
                <w:sz w:val="20"/>
                <w:szCs w:val="20"/>
              </w:rPr>
              <w:t xml:space="preserve"> 202</w:t>
            </w:r>
            <w:r>
              <w:rPr>
                <w:rFonts w:eastAsia="Calibri" w:cs="Times New Roman"/>
                <w:color w:val="FF0000"/>
                <w:sz w:val="20"/>
                <w:szCs w:val="20"/>
              </w:rPr>
              <w:t>0</w:t>
            </w:r>
            <w:r w:rsidRPr="00495683">
              <w:rPr>
                <w:rFonts w:eastAsia="Calibri" w:cs="Times New Roman"/>
                <w:color w:val="FF0000"/>
                <w:sz w:val="20"/>
                <w:szCs w:val="20"/>
              </w:rPr>
              <w:t>/2</w:t>
            </w:r>
            <w:r>
              <w:rPr>
                <w:rFonts w:eastAsia="Calibri" w:cs="Times New Roman"/>
                <w:color w:val="FF0000"/>
                <w:sz w:val="20"/>
                <w:szCs w:val="20"/>
              </w:rPr>
              <w:t>1</w:t>
            </w:r>
          </w:p>
        </w:tc>
      </w:tr>
      <w:tr w:rsidR="00066063" w14:paraId="1AD4B5DA" w14:textId="77777777" w:rsidTr="00AE1F7D">
        <w:trPr>
          <w:trHeight w:val="642"/>
        </w:trPr>
        <w:tc>
          <w:tcPr>
            <w:tcW w:w="10948" w:type="dxa"/>
            <w:gridSpan w:val="7"/>
            <w:tcBorders>
              <w:right w:val="single" w:sz="8" w:space="0" w:color="auto"/>
            </w:tcBorders>
            <w:vAlign w:val="center"/>
          </w:tcPr>
          <w:p w14:paraId="1AD4B5D9" w14:textId="77777777" w:rsidR="00AE1F7D" w:rsidRPr="00F12C84" w:rsidRDefault="00907B19" w:rsidP="00AE1F7D">
            <w:pPr>
              <w:widowControl w:val="0"/>
              <w:spacing w:line="256" w:lineRule="auto"/>
              <w:contextualSpacing/>
              <w:outlineLvl w:val="0"/>
              <w:rPr>
                <w:rFonts w:eastAsia="Calibri" w:cs="Times New Roman"/>
                <w:sz w:val="16"/>
                <w:szCs w:val="16"/>
              </w:rPr>
            </w:pPr>
            <w:r w:rsidRPr="00F12C84">
              <w:rPr>
                <w:rFonts w:eastAsia="Calibri" w:cs="Times New Roman"/>
                <w:b/>
                <w:bCs/>
                <w:color w:val="FF0000"/>
                <w:sz w:val="24"/>
              </w:rPr>
              <w:t>Thriving Communities</w:t>
            </w:r>
          </w:p>
        </w:tc>
      </w:tr>
      <w:tr w:rsidR="00066063" w14:paraId="1AD4B5E3" w14:textId="77777777" w:rsidTr="00AE1F7D">
        <w:trPr>
          <w:trHeight w:val="642"/>
        </w:trPr>
        <w:tc>
          <w:tcPr>
            <w:tcW w:w="3114" w:type="dxa"/>
            <w:shd w:val="clear" w:color="auto" w:fill="auto"/>
            <w:vAlign w:val="center"/>
          </w:tcPr>
          <w:p w14:paraId="1AD4B5DB" w14:textId="77777777" w:rsidR="00AE1F7D" w:rsidRPr="00F12C84" w:rsidRDefault="00907B19" w:rsidP="00AE1F7D">
            <w:pPr>
              <w:widowControl w:val="0"/>
              <w:spacing w:line="256" w:lineRule="auto"/>
              <w:contextualSpacing/>
              <w:outlineLvl w:val="0"/>
              <w:rPr>
                <w:rFonts w:eastAsia="Calibri" w:cs="Times New Roman"/>
              </w:rPr>
            </w:pPr>
            <w:bookmarkStart w:id="19" w:name="_Hlk64544405"/>
            <w:r w:rsidRPr="00F12C84">
              <w:rPr>
                <w:rFonts w:eastAsia="Calibri" w:cs="Times New Roman"/>
              </w:rPr>
              <w:t>Number of meals provided to school age children through holiday hunger offer</w:t>
            </w:r>
          </w:p>
        </w:tc>
        <w:tc>
          <w:tcPr>
            <w:tcW w:w="1171" w:type="dxa"/>
            <w:tcBorders>
              <w:top w:val="single" w:sz="8" w:space="0" w:color="auto"/>
              <w:left w:val="single" w:sz="8" w:space="0" w:color="auto"/>
              <w:bottom w:val="single" w:sz="8" w:space="0" w:color="auto"/>
              <w:right w:val="single" w:sz="8" w:space="0" w:color="auto"/>
            </w:tcBorders>
            <w:vAlign w:val="center"/>
          </w:tcPr>
          <w:p w14:paraId="1AD4B5DC"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398" w:type="dxa"/>
            <w:shd w:val="clear" w:color="auto" w:fill="auto"/>
            <w:vAlign w:val="center"/>
          </w:tcPr>
          <w:p w14:paraId="1AD4B5DD"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To be baselined 2021/22</w:t>
            </w:r>
          </w:p>
        </w:tc>
        <w:tc>
          <w:tcPr>
            <w:tcW w:w="1564" w:type="dxa"/>
            <w:vAlign w:val="center"/>
          </w:tcPr>
          <w:p w14:paraId="1AD4B5DE" w14:textId="77777777" w:rsidR="00AE1F7D" w:rsidRPr="009929FB" w:rsidRDefault="00907B19" w:rsidP="00AE1F7D">
            <w:pPr>
              <w:widowControl w:val="0"/>
              <w:spacing w:line="256" w:lineRule="auto"/>
              <w:contextualSpacing/>
              <w:jc w:val="center"/>
              <w:outlineLvl w:val="0"/>
              <w:rPr>
                <w:rFonts w:eastAsia="Calibri" w:cs="Times New Roman"/>
              </w:rPr>
            </w:pPr>
            <w:r w:rsidRPr="009929FB">
              <w:rPr>
                <w:rFonts w:eastAsia="Calibri" w:cs="Times New Roman"/>
              </w:rPr>
              <w:t>10823</w:t>
            </w:r>
          </w:p>
          <w:p w14:paraId="1AD4B5DF" w14:textId="77777777" w:rsidR="00AE1F7D" w:rsidRPr="00161370" w:rsidRDefault="00907B19" w:rsidP="00AE1F7D">
            <w:pPr>
              <w:widowControl w:val="0"/>
              <w:spacing w:line="256" w:lineRule="auto"/>
              <w:contextualSpacing/>
              <w:jc w:val="center"/>
              <w:outlineLvl w:val="0"/>
              <w:rPr>
                <w:rFonts w:eastAsia="Calibri" w:cs="Times New Roman"/>
                <w:b/>
                <w:bCs/>
              </w:rPr>
            </w:pPr>
            <w:r>
              <w:rPr>
                <w:rFonts w:eastAsia="Arial" w:cs="Times New Roman"/>
                <w:lang w:val="en-US"/>
              </w:rPr>
              <w:t>(Q1:2021/22)</w:t>
            </w:r>
          </w:p>
        </w:tc>
        <w:tc>
          <w:tcPr>
            <w:tcW w:w="1278" w:type="dxa"/>
            <w:shd w:val="clear" w:color="auto" w:fill="auto"/>
            <w:vAlign w:val="center"/>
          </w:tcPr>
          <w:p w14:paraId="1AD4B5E0" w14:textId="77777777" w:rsidR="00AE1F7D" w:rsidRPr="00F12C84" w:rsidRDefault="00907B19" w:rsidP="00AE1F7D">
            <w:pPr>
              <w:widowControl w:val="0"/>
              <w:spacing w:line="256" w:lineRule="auto"/>
              <w:contextualSpacing/>
              <w:jc w:val="center"/>
              <w:outlineLvl w:val="0"/>
              <w:rPr>
                <w:rFonts w:eastAsia="Calibri" w:cs="Times New Roman"/>
                <w:b/>
                <w:bCs/>
                <w:color w:val="FF0000"/>
              </w:rPr>
            </w:pPr>
            <w:r w:rsidRPr="009929FB">
              <w:rPr>
                <w:rFonts w:eastAsia="Calibri" w:cs="Times New Roman"/>
                <w:b/>
                <w:bCs/>
              </w:rPr>
              <w:t>9050</w:t>
            </w:r>
          </w:p>
        </w:tc>
        <w:tc>
          <w:tcPr>
            <w:tcW w:w="1138" w:type="dxa"/>
            <w:tcBorders>
              <w:top w:val="single" w:sz="8" w:space="0" w:color="auto"/>
              <w:left w:val="single" w:sz="8" w:space="0" w:color="auto"/>
              <w:bottom w:val="single" w:sz="8" w:space="0" w:color="auto"/>
              <w:right w:val="single" w:sz="8" w:space="0" w:color="auto"/>
            </w:tcBorders>
            <w:vAlign w:val="center"/>
          </w:tcPr>
          <w:p w14:paraId="1AD4B5E1" w14:textId="77777777" w:rsidR="00AE1F7D" w:rsidRPr="00F12C84" w:rsidRDefault="00907B19" w:rsidP="00AE1F7D">
            <w:pPr>
              <w:widowControl w:val="0"/>
              <w:spacing w:line="256" w:lineRule="auto"/>
              <w:contextualSpacing/>
              <w:jc w:val="center"/>
              <w:outlineLvl w:val="0"/>
              <w:rPr>
                <w:rFonts w:eastAsia="Arial" w:cs="Times New Roman"/>
                <w:lang w:val="en-US"/>
              </w:rPr>
            </w:pPr>
            <w:r>
              <w:rPr>
                <w:rFonts w:eastAsia="Arial" w:cs="Times New Roman"/>
                <w:lang w:val="en-US"/>
              </w:rPr>
              <w:t>-</w:t>
            </w:r>
          </w:p>
        </w:tc>
        <w:tc>
          <w:tcPr>
            <w:tcW w:w="1285" w:type="dxa"/>
            <w:tcBorders>
              <w:top w:val="single" w:sz="8" w:space="0" w:color="auto"/>
              <w:left w:val="single" w:sz="8" w:space="0" w:color="auto"/>
              <w:bottom w:val="single" w:sz="8" w:space="0" w:color="auto"/>
              <w:right w:val="single" w:sz="8" w:space="0" w:color="auto"/>
            </w:tcBorders>
            <w:vAlign w:val="center"/>
          </w:tcPr>
          <w:p w14:paraId="1AD4B5E2" w14:textId="77777777" w:rsidR="00AE1F7D" w:rsidRPr="00F12C84" w:rsidRDefault="00907B19" w:rsidP="00AE1F7D">
            <w:pPr>
              <w:widowControl w:val="0"/>
              <w:spacing w:line="256" w:lineRule="auto"/>
              <w:contextualSpacing/>
              <w:jc w:val="center"/>
              <w:outlineLvl w:val="0"/>
              <w:rPr>
                <w:rFonts w:eastAsia="Calibri" w:cs="Times New Roman"/>
                <w:sz w:val="16"/>
                <w:szCs w:val="16"/>
              </w:rPr>
            </w:pPr>
            <w:r>
              <w:rPr>
                <w:rFonts w:eastAsia="Calibri" w:cs="Times New Roman"/>
                <w:sz w:val="16"/>
                <w:szCs w:val="16"/>
              </w:rPr>
              <w:t>-</w:t>
            </w:r>
          </w:p>
        </w:tc>
      </w:tr>
      <w:tr w:rsidR="00066063" w14:paraId="1AD4B5EC" w14:textId="77777777" w:rsidTr="00AE1F7D">
        <w:trPr>
          <w:trHeight w:val="642"/>
        </w:trPr>
        <w:tc>
          <w:tcPr>
            <w:tcW w:w="3114" w:type="dxa"/>
            <w:shd w:val="clear" w:color="auto" w:fill="auto"/>
            <w:vAlign w:val="center"/>
          </w:tcPr>
          <w:p w14:paraId="1AD4B5E4" w14:textId="77777777" w:rsidR="00AE1F7D" w:rsidRPr="00F12C84" w:rsidRDefault="00907B19" w:rsidP="00AE1F7D">
            <w:pPr>
              <w:widowControl w:val="0"/>
              <w:spacing w:line="256" w:lineRule="auto"/>
              <w:contextualSpacing/>
              <w:outlineLvl w:val="0"/>
              <w:rPr>
                <w:rFonts w:eastAsia="Calibri" w:cs="Times New Roman"/>
              </w:rPr>
            </w:pPr>
            <w:bookmarkStart w:id="20" w:name="_Hlk78458669"/>
            <w:r w:rsidRPr="00F12C84">
              <w:rPr>
                <w:rFonts w:eastAsia="Arial"/>
              </w:rPr>
              <w:t>Number of residents benefiting from opportunities created by the communities’ team</w:t>
            </w:r>
          </w:p>
        </w:tc>
        <w:tc>
          <w:tcPr>
            <w:tcW w:w="1171" w:type="dxa"/>
            <w:tcBorders>
              <w:top w:val="single" w:sz="8" w:space="0" w:color="auto"/>
              <w:left w:val="single" w:sz="8" w:space="0" w:color="auto"/>
              <w:bottom w:val="single" w:sz="8" w:space="0" w:color="auto"/>
              <w:right w:val="single" w:sz="8" w:space="0" w:color="auto"/>
            </w:tcBorders>
            <w:vAlign w:val="center"/>
          </w:tcPr>
          <w:p w14:paraId="1AD4B5E5"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398" w:type="dxa"/>
            <w:shd w:val="clear" w:color="auto" w:fill="auto"/>
            <w:vAlign w:val="center"/>
          </w:tcPr>
          <w:p w14:paraId="1AD4B5E6"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To be baselined 2021/22</w:t>
            </w:r>
          </w:p>
        </w:tc>
        <w:tc>
          <w:tcPr>
            <w:tcW w:w="1564" w:type="dxa"/>
            <w:vAlign w:val="center"/>
          </w:tcPr>
          <w:p w14:paraId="1AD4B5E7" w14:textId="77777777" w:rsidR="00AE1F7D" w:rsidRPr="009929FB" w:rsidRDefault="00907B19" w:rsidP="00AE1F7D">
            <w:pPr>
              <w:widowControl w:val="0"/>
              <w:spacing w:line="256" w:lineRule="auto"/>
              <w:contextualSpacing/>
              <w:jc w:val="center"/>
              <w:outlineLvl w:val="0"/>
              <w:rPr>
                <w:rFonts w:eastAsia="Calibri" w:cs="Times New Roman"/>
              </w:rPr>
            </w:pPr>
            <w:r w:rsidRPr="009929FB">
              <w:rPr>
                <w:rFonts w:eastAsia="Calibri" w:cs="Times New Roman"/>
              </w:rPr>
              <w:t>4257</w:t>
            </w:r>
          </w:p>
          <w:p w14:paraId="1AD4B5E8" w14:textId="77777777" w:rsidR="00AE1F7D" w:rsidRDefault="00907B19" w:rsidP="00AE1F7D">
            <w:pPr>
              <w:widowControl w:val="0"/>
              <w:spacing w:line="256" w:lineRule="auto"/>
              <w:contextualSpacing/>
              <w:jc w:val="center"/>
              <w:outlineLvl w:val="0"/>
              <w:rPr>
                <w:rStyle w:val="FootnoteReference"/>
                <w:rFonts w:eastAsia="Calibri" w:cs="Times New Roman"/>
                <w:b/>
                <w:bCs/>
              </w:rPr>
            </w:pPr>
            <w:r>
              <w:rPr>
                <w:rFonts w:eastAsia="Arial" w:cs="Times New Roman"/>
                <w:lang w:val="en-US"/>
              </w:rPr>
              <w:t>(Q1:2021/22)</w:t>
            </w:r>
          </w:p>
        </w:tc>
        <w:tc>
          <w:tcPr>
            <w:tcW w:w="1278" w:type="dxa"/>
            <w:shd w:val="clear" w:color="auto" w:fill="auto"/>
            <w:vAlign w:val="center"/>
          </w:tcPr>
          <w:p w14:paraId="1AD4B5E9" w14:textId="77777777" w:rsidR="00AE1F7D" w:rsidRPr="00F12C84" w:rsidRDefault="00907B19" w:rsidP="00AE1F7D">
            <w:pPr>
              <w:widowControl w:val="0"/>
              <w:spacing w:line="256" w:lineRule="auto"/>
              <w:contextualSpacing/>
              <w:jc w:val="center"/>
              <w:outlineLvl w:val="0"/>
              <w:rPr>
                <w:rFonts w:eastAsia="Calibri" w:cs="Times New Roman"/>
                <w:b/>
                <w:bCs/>
              </w:rPr>
            </w:pPr>
            <w:r>
              <w:rPr>
                <w:rFonts w:eastAsia="Calibri" w:cs="Times New Roman"/>
                <w:b/>
                <w:bCs/>
              </w:rPr>
              <w:t>3884</w:t>
            </w:r>
          </w:p>
        </w:tc>
        <w:tc>
          <w:tcPr>
            <w:tcW w:w="1138" w:type="dxa"/>
            <w:tcBorders>
              <w:top w:val="single" w:sz="8" w:space="0" w:color="auto"/>
              <w:left w:val="single" w:sz="8" w:space="0" w:color="auto"/>
              <w:bottom w:val="single" w:sz="8" w:space="0" w:color="auto"/>
              <w:right w:val="single" w:sz="8" w:space="0" w:color="auto"/>
            </w:tcBorders>
            <w:vAlign w:val="center"/>
          </w:tcPr>
          <w:p w14:paraId="1AD4B5EA" w14:textId="77777777" w:rsidR="00AE1F7D" w:rsidRPr="00F12C84" w:rsidRDefault="00907B19" w:rsidP="00AE1F7D">
            <w:pPr>
              <w:widowControl w:val="0"/>
              <w:spacing w:line="256" w:lineRule="auto"/>
              <w:contextualSpacing/>
              <w:jc w:val="center"/>
              <w:outlineLvl w:val="0"/>
              <w:rPr>
                <w:rFonts w:eastAsia="Arial" w:cs="Times New Roman"/>
                <w:lang w:val="en-US"/>
              </w:rPr>
            </w:pPr>
            <w:r>
              <w:rPr>
                <w:rFonts w:eastAsia="Arial" w:cs="Times New Roman"/>
                <w:lang w:val="en-US"/>
              </w:rPr>
              <w:t>-</w:t>
            </w:r>
          </w:p>
        </w:tc>
        <w:tc>
          <w:tcPr>
            <w:tcW w:w="1285" w:type="dxa"/>
            <w:tcBorders>
              <w:top w:val="single" w:sz="8" w:space="0" w:color="auto"/>
              <w:left w:val="single" w:sz="8" w:space="0" w:color="auto"/>
              <w:bottom w:val="single" w:sz="8" w:space="0" w:color="auto"/>
              <w:right w:val="single" w:sz="8" w:space="0" w:color="auto"/>
            </w:tcBorders>
            <w:vAlign w:val="center"/>
          </w:tcPr>
          <w:p w14:paraId="1AD4B5EB" w14:textId="77777777" w:rsidR="00AE1F7D" w:rsidRPr="00F12C84" w:rsidRDefault="00907B19" w:rsidP="00AE1F7D">
            <w:pPr>
              <w:widowControl w:val="0"/>
              <w:spacing w:line="256" w:lineRule="auto"/>
              <w:contextualSpacing/>
              <w:jc w:val="center"/>
              <w:outlineLvl w:val="0"/>
              <w:rPr>
                <w:rFonts w:eastAsia="Arial" w:cs="Times New Roman"/>
                <w:lang w:val="en-US"/>
              </w:rPr>
            </w:pPr>
            <w:r>
              <w:rPr>
                <w:rFonts w:eastAsia="Arial" w:cs="Times New Roman"/>
                <w:lang w:val="en-US"/>
              </w:rPr>
              <w:t>-</w:t>
            </w:r>
          </w:p>
        </w:tc>
      </w:tr>
      <w:bookmarkEnd w:id="20"/>
      <w:tr w:rsidR="00066063" w14:paraId="1AD4B5EE" w14:textId="77777777" w:rsidTr="00AE1F7D">
        <w:trPr>
          <w:trHeight w:val="642"/>
        </w:trPr>
        <w:tc>
          <w:tcPr>
            <w:tcW w:w="10948" w:type="dxa"/>
            <w:gridSpan w:val="7"/>
            <w:tcBorders>
              <w:right w:val="single" w:sz="8" w:space="0" w:color="auto"/>
            </w:tcBorders>
            <w:vAlign w:val="center"/>
          </w:tcPr>
          <w:p w14:paraId="1AD4B5ED" w14:textId="77777777" w:rsidR="00AE1F7D" w:rsidRPr="00F12C84" w:rsidRDefault="00907B19" w:rsidP="00AE1F7D">
            <w:pPr>
              <w:widowControl w:val="0"/>
              <w:spacing w:line="256" w:lineRule="auto"/>
              <w:contextualSpacing/>
              <w:outlineLvl w:val="0"/>
              <w:rPr>
                <w:rFonts w:eastAsia="Calibri" w:cs="Times New Roman"/>
                <w:b/>
                <w:bCs/>
                <w:color w:val="7030A0"/>
                <w:sz w:val="24"/>
              </w:rPr>
            </w:pPr>
            <w:r w:rsidRPr="00F12C84">
              <w:rPr>
                <w:rFonts w:eastAsia="Calibri" w:cs="Times New Roman"/>
                <w:b/>
                <w:bCs/>
                <w:color w:val="7030A0"/>
                <w:sz w:val="24"/>
              </w:rPr>
              <w:t>A fair local economy that works for everyone</w:t>
            </w:r>
          </w:p>
        </w:tc>
      </w:tr>
      <w:tr w:rsidR="00066063" w14:paraId="1AD4B5F7" w14:textId="77777777" w:rsidTr="00AE1F7D">
        <w:trPr>
          <w:trHeight w:val="800"/>
        </w:trPr>
        <w:tc>
          <w:tcPr>
            <w:tcW w:w="3114" w:type="dxa"/>
            <w:tcBorders>
              <w:right w:val="single" w:sz="8" w:space="0" w:color="auto"/>
            </w:tcBorders>
            <w:shd w:val="clear" w:color="auto" w:fill="auto"/>
            <w:vAlign w:val="center"/>
          </w:tcPr>
          <w:p w14:paraId="1AD4B5EF" w14:textId="77777777" w:rsidR="00AE1F7D" w:rsidRPr="00F12C84" w:rsidRDefault="00907B19" w:rsidP="00AE1F7D">
            <w:pPr>
              <w:widowControl w:val="0"/>
              <w:spacing w:line="256" w:lineRule="auto"/>
              <w:contextualSpacing/>
              <w:outlineLvl w:val="0"/>
              <w:rPr>
                <w:rFonts w:eastAsia="Calibri" w:cs="Times New Roman"/>
              </w:rPr>
            </w:pPr>
            <w:r w:rsidRPr="00333B8F">
              <w:rPr>
                <w:rFonts w:eastAsia="Calibri" w:cs="Times New Roman"/>
              </w:rPr>
              <w:t>Overall employment rate greater than north west average</w:t>
            </w:r>
          </w:p>
        </w:tc>
        <w:tc>
          <w:tcPr>
            <w:tcW w:w="1171" w:type="dxa"/>
            <w:tcBorders>
              <w:right w:val="single" w:sz="8" w:space="0" w:color="auto"/>
            </w:tcBorders>
            <w:shd w:val="clear" w:color="auto" w:fill="auto"/>
            <w:vAlign w:val="center"/>
          </w:tcPr>
          <w:p w14:paraId="1AD4B5F0" w14:textId="77777777" w:rsidR="00AE1F7D" w:rsidRPr="00F12C84" w:rsidRDefault="00907B19" w:rsidP="00AE1F7D">
            <w:pPr>
              <w:widowControl w:val="0"/>
              <w:spacing w:line="256" w:lineRule="auto"/>
              <w:contextualSpacing/>
              <w:jc w:val="center"/>
              <w:outlineLvl w:val="0"/>
              <w:rPr>
                <w:rFonts w:eastAsia="Calibri" w:cs="Times New Roman"/>
              </w:rPr>
            </w:pPr>
            <w:r>
              <w:rPr>
                <w:rFonts w:eastAsia="Calibri" w:cs="Times New Roman"/>
              </w:rPr>
              <w:t>Bigger is better</w:t>
            </w:r>
          </w:p>
        </w:tc>
        <w:tc>
          <w:tcPr>
            <w:tcW w:w="1398" w:type="dxa"/>
            <w:tcBorders>
              <w:right w:val="single" w:sz="8" w:space="0" w:color="auto"/>
            </w:tcBorders>
            <w:shd w:val="clear" w:color="auto" w:fill="auto"/>
            <w:vAlign w:val="center"/>
          </w:tcPr>
          <w:p w14:paraId="1AD4B5F1" w14:textId="77777777" w:rsidR="00AE1F7D" w:rsidRPr="00F12C84" w:rsidRDefault="00907B19" w:rsidP="00AE1F7D">
            <w:pPr>
              <w:widowControl w:val="0"/>
              <w:spacing w:line="256" w:lineRule="auto"/>
              <w:contextualSpacing/>
              <w:jc w:val="center"/>
              <w:outlineLvl w:val="0"/>
              <w:rPr>
                <w:rFonts w:eastAsia="Calibri" w:cs="Times New Roman"/>
              </w:rPr>
            </w:pPr>
            <w:r>
              <w:rPr>
                <w:rFonts w:eastAsia="Calibri" w:cs="Times New Roman"/>
              </w:rPr>
              <w:t>73.1%</w:t>
            </w:r>
          </w:p>
        </w:tc>
        <w:tc>
          <w:tcPr>
            <w:tcW w:w="1564" w:type="dxa"/>
            <w:tcBorders>
              <w:right w:val="single" w:sz="8" w:space="0" w:color="auto"/>
            </w:tcBorders>
            <w:shd w:val="clear" w:color="auto" w:fill="auto"/>
            <w:vAlign w:val="center"/>
          </w:tcPr>
          <w:p w14:paraId="1AD4B5F2" w14:textId="77777777" w:rsidR="00AE1F7D" w:rsidRDefault="00907B19" w:rsidP="00AE1F7D">
            <w:pPr>
              <w:widowControl w:val="0"/>
              <w:spacing w:line="256" w:lineRule="auto"/>
              <w:contextualSpacing/>
              <w:jc w:val="center"/>
              <w:outlineLvl w:val="0"/>
              <w:rPr>
                <w:rFonts w:eastAsia="Calibri" w:cs="Times New Roman"/>
              </w:rPr>
            </w:pPr>
            <w:r>
              <w:rPr>
                <w:rFonts w:eastAsia="Calibri" w:cs="Times New Roman"/>
              </w:rPr>
              <w:t>79.5</w:t>
            </w:r>
          </w:p>
          <w:p w14:paraId="1AD4B5F3" w14:textId="77777777" w:rsidR="00AE1F7D" w:rsidRDefault="00907B19" w:rsidP="00AE1F7D">
            <w:pPr>
              <w:widowControl w:val="0"/>
              <w:spacing w:line="256" w:lineRule="auto"/>
              <w:contextualSpacing/>
              <w:jc w:val="center"/>
              <w:outlineLvl w:val="0"/>
              <w:rPr>
                <w:rFonts w:eastAsia="Calibri" w:cs="Times New Roman"/>
                <w:b/>
                <w:bCs/>
              </w:rPr>
            </w:pPr>
            <w:r>
              <w:rPr>
                <w:rFonts w:eastAsia="Calibri" w:cs="Times New Roman"/>
              </w:rPr>
              <w:t>(Q1:2021/22)</w:t>
            </w:r>
          </w:p>
        </w:tc>
        <w:tc>
          <w:tcPr>
            <w:tcW w:w="1278" w:type="dxa"/>
            <w:tcBorders>
              <w:right w:val="single" w:sz="8" w:space="0" w:color="auto"/>
            </w:tcBorders>
            <w:shd w:val="clear" w:color="auto" w:fill="auto"/>
            <w:vAlign w:val="center"/>
          </w:tcPr>
          <w:p w14:paraId="1AD4B5F4" w14:textId="77777777" w:rsidR="00AE1F7D" w:rsidRPr="0046166E" w:rsidRDefault="00907B19" w:rsidP="00AE1F7D">
            <w:pPr>
              <w:widowControl w:val="0"/>
              <w:spacing w:line="256" w:lineRule="auto"/>
              <w:contextualSpacing/>
              <w:jc w:val="center"/>
              <w:outlineLvl w:val="0"/>
              <w:rPr>
                <w:rFonts w:eastAsia="Calibri" w:cs="Times New Roman"/>
                <w:b/>
                <w:bCs/>
              </w:rPr>
            </w:pPr>
            <w:r w:rsidRPr="0046166E">
              <w:rPr>
                <w:rFonts w:eastAsia="Calibri" w:cs="Times New Roman"/>
                <w:b/>
                <w:bCs/>
              </w:rPr>
              <w:t>80.8%</w:t>
            </w:r>
          </w:p>
        </w:tc>
        <w:tc>
          <w:tcPr>
            <w:tcW w:w="1138" w:type="dxa"/>
            <w:tcBorders>
              <w:right w:val="single" w:sz="8" w:space="0" w:color="auto"/>
            </w:tcBorders>
            <w:shd w:val="clear" w:color="auto" w:fill="auto"/>
            <w:vAlign w:val="center"/>
          </w:tcPr>
          <w:p w14:paraId="1AD4B5F5" w14:textId="77777777" w:rsidR="00AE1F7D" w:rsidRPr="00F12C84" w:rsidRDefault="00907B19" w:rsidP="00AE1F7D">
            <w:pPr>
              <w:widowControl w:val="0"/>
              <w:spacing w:line="256" w:lineRule="auto"/>
              <w:contextualSpacing/>
              <w:jc w:val="center"/>
              <w:outlineLvl w:val="0"/>
              <w:rPr>
                <w:rFonts w:ascii="Wingdings" w:eastAsia="Arial" w:hAnsi="Wingdings" w:cs="Times New Roman"/>
                <w:color w:val="00B050"/>
                <w:sz w:val="44"/>
              </w:rPr>
            </w:pPr>
            <w:r w:rsidRPr="00F12C84">
              <w:rPr>
                <w:rFonts w:ascii="Wingdings" w:eastAsia="Arial" w:hAnsi="Wingdings" w:cs="Times New Roman"/>
                <w:color w:val="00B050"/>
                <w:sz w:val="44"/>
              </w:rPr>
              <w:sym w:font="Wingdings" w:char="F0AB"/>
            </w:r>
          </w:p>
        </w:tc>
        <w:tc>
          <w:tcPr>
            <w:tcW w:w="1285" w:type="dxa"/>
            <w:tcBorders>
              <w:right w:val="single" w:sz="8" w:space="0" w:color="auto"/>
            </w:tcBorders>
            <w:shd w:val="clear" w:color="auto" w:fill="auto"/>
            <w:vAlign w:val="center"/>
          </w:tcPr>
          <w:p w14:paraId="1AD4B5F6" w14:textId="77777777" w:rsidR="00AE1F7D" w:rsidRPr="004B6F52" w:rsidRDefault="00907B19" w:rsidP="00AE1F7D">
            <w:pPr>
              <w:widowControl w:val="0"/>
              <w:spacing w:line="256" w:lineRule="auto"/>
              <w:contextualSpacing/>
              <w:jc w:val="center"/>
              <w:outlineLvl w:val="0"/>
              <w:rPr>
                <w:rFonts w:eastAsia="Calibri" w:cs="Times New Roman"/>
                <w:color w:val="FF0000"/>
                <w:sz w:val="20"/>
                <w:szCs w:val="20"/>
              </w:rPr>
            </w:pPr>
            <w:r w:rsidRPr="004B6F52">
              <w:rPr>
                <w:rFonts w:eastAsia="Calibri" w:cs="Times New Roman"/>
                <w:color w:val="FF0000"/>
                <w:sz w:val="20"/>
                <w:szCs w:val="20"/>
              </w:rPr>
              <w:t>Worse than Q2 2020/21</w:t>
            </w:r>
          </w:p>
        </w:tc>
      </w:tr>
      <w:tr w:rsidR="00066063" w14:paraId="1AD4B5F9" w14:textId="77777777" w:rsidTr="00AE1F7D">
        <w:trPr>
          <w:trHeight w:val="800"/>
        </w:trPr>
        <w:tc>
          <w:tcPr>
            <w:tcW w:w="10948" w:type="dxa"/>
            <w:gridSpan w:val="7"/>
            <w:tcBorders>
              <w:right w:val="single" w:sz="8" w:space="0" w:color="auto"/>
            </w:tcBorders>
            <w:vAlign w:val="center"/>
          </w:tcPr>
          <w:p w14:paraId="1AD4B5F8" w14:textId="77777777" w:rsidR="00AE1F7D" w:rsidRPr="00F12C84" w:rsidRDefault="00907B19" w:rsidP="00AE1F7D">
            <w:pPr>
              <w:widowControl w:val="0"/>
              <w:spacing w:line="256" w:lineRule="auto"/>
              <w:contextualSpacing/>
              <w:outlineLvl w:val="0"/>
              <w:rPr>
                <w:rFonts w:eastAsia="Calibri" w:cs="Times New Roman"/>
                <w:b/>
                <w:bCs/>
                <w:color w:val="00B050"/>
              </w:rPr>
            </w:pPr>
            <w:r w:rsidRPr="00F12C84">
              <w:rPr>
                <w:rFonts w:eastAsia="Calibri" w:cs="Times New Roman"/>
                <w:b/>
                <w:bCs/>
                <w:color w:val="00B050"/>
                <w:sz w:val="24"/>
              </w:rPr>
              <w:t>Good homes green spaces healthy places</w:t>
            </w:r>
          </w:p>
        </w:tc>
      </w:tr>
      <w:tr w:rsidR="00066063" w14:paraId="1AD4B602" w14:textId="77777777" w:rsidTr="00AE1F7D">
        <w:trPr>
          <w:trHeight w:val="890"/>
        </w:trPr>
        <w:tc>
          <w:tcPr>
            <w:tcW w:w="3114" w:type="dxa"/>
            <w:shd w:val="clear" w:color="auto" w:fill="auto"/>
            <w:vAlign w:val="center"/>
          </w:tcPr>
          <w:p w14:paraId="1AD4B5FA" w14:textId="77777777" w:rsidR="00AE1F7D" w:rsidRPr="00F12C84" w:rsidRDefault="00907B19" w:rsidP="00AE1F7D">
            <w:pPr>
              <w:widowControl w:val="0"/>
              <w:spacing w:line="256" w:lineRule="auto"/>
              <w:contextualSpacing/>
              <w:outlineLvl w:val="0"/>
              <w:rPr>
                <w:rFonts w:eastAsia="Calibri" w:cs="Times New Roman"/>
              </w:rPr>
            </w:pPr>
            <w:r w:rsidRPr="00F12C84">
              <w:rPr>
                <w:rFonts w:eastAsia="Calibri" w:cs="Times New Roman"/>
              </w:rPr>
              <w:t xml:space="preserve">Total number of young people’s physical activity courses delivered (Academic Year) </w:t>
            </w:r>
          </w:p>
        </w:tc>
        <w:tc>
          <w:tcPr>
            <w:tcW w:w="1171" w:type="dxa"/>
            <w:tcBorders>
              <w:top w:val="single" w:sz="8" w:space="0" w:color="auto"/>
              <w:left w:val="single" w:sz="8" w:space="0" w:color="auto"/>
              <w:bottom w:val="single" w:sz="8" w:space="0" w:color="auto"/>
              <w:right w:val="single" w:sz="8" w:space="0" w:color="auto"/>
            </w:tcBorders>
            <w:vAlign w:val="center"/>
          </w:tcPr>
          <w:p w14:paraId="1AD4B5FB"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398" w:type="dxa"/>
            <w:shd w:val="clear" w:color="auto" w:fill="auto"/>
            <w:vAlign w:val="center"/>
          </w:tcPr>
          <w:p w14:paraId="1AD4B5FC"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Target to improve trend</w:t>
            </w:r>
          </w:p>
        </w:tc>
        <w:tc>
          <w:tcPr>
            <w:tcW w:w="1564" w:type="dxa"/>
            <w:vAlign w:val="center"/>
          </w:tcPr>
          <w:p w14:paraId="1AD4B5FD" w14:textId="77777777" w:rsidR="00AE1F7D" w:rsidRDefault="00907B19" w:rsidP="00AE1F7D">
            <w:pPr>
              <w:widowControl w:val="0"/>
              <w:spacing w:line="256" w:lineRule="auto"/>
              <w:contextualSpacing/>
              <w:jc w:val="center"/>
              <w:outlineLvl w:val="0"/>
              <w:rPr>
                <w:rFonts w:eastAsia="Calibri" w:cs="Times New Roman"/>
              </w:rPr>
            </w:pPr>
            <w:r>
              <w:rPr>
                <w:rFonts w:eastAsia="Calibri" w:cs="Times New Roman"/>
              </w:rPr>
              <w:t>198</w:t>
            </w:r>
          </w:p>
          <w:p w14:paraId="1AD4B5FE" w14:textId="77777777" w:rsidR="00AE1F7D" w:rsidRDefault="00907B19" w:rsidP="00AE1F7D">
            <w:pPr>
              <w:widowControl w:val="0"/>
              <w:spacing w:line="256" w:lineRule="auto"/>
              <w:contextualSpacing/>
              <w:jc w:val="center"/>
              <w:outlineLvl w:val="0"/>
              <w:rPr>
                <w:rStyle w:val="FootnoteReference"/>
                <w:rFonts w:eastAsia="Calibri" w:cs="Times New Roman"/>
                <w:b/>
                <w:bCs/>
              </w:rPr>
            </w:pPr>
            <w:r>
              <w:rPr>
                <w:rFonts w:eastAsia="Calibri" w:cs="Times New Roman"/>
              </w:rPr>
              <w:t>(Q1:2021/22)</w:t>
            </w:r>
          </w:p>
        </w:tc>
        <w:tc>
          <w:tcPr>
            <w:tcW w:w="1278" w:type="dxa"/>
            <w:shd w:val="clear" w:color="auto" w:fill="auto"/>
            <w:vAlign w:val="center"/>
          </w:tcPr>
          <w:p w14:paraId="1AD4B5FF" w14:textId="77777777" w:rsidR="00AE1F7D" w:rsidRPr="00DF3C7B" w:rsidRDefault="00907B19" w:rsidP="00AE1F7D">
            <w:pPr>
              <w:widowControl w:val="0"/>
              <w:spacing w:line="256" w:lineRule="auto"/>
              <w:contextualSpacing/>
              <w:jc w:val="center"/>
              <w:outlineLvl w:val="0"/>
              <w:rPr>
                <w:rFonts w:eastAsia="Calibri" w:cs="Times New Roman"/>
                <w:b/>
                <w:bCs/>
              </w:rPr>
            </w:pPr>
            <w:r w:rsidRPr="00DF3C7B">
              <w:rPr>
                <w:rFonts w:eastAsia="Calibri" w:cs="Times New Roman"/>
                <w:b/>
                <w:bCs/>
              </w:rPr>
              <w:t>212</w:t>
            </w:r>
          </w:p>
        </w:tc>
        <w:tc>
          <w:tcPr>
            <w:tcW w:w="1138" w:type="dxa"/>
            <w:tcBorders>
              <w:top w:val="single" w:sz="8" w:space="0" w:color="auto"/>
              <w:left w:val="single" w:sz="8" w:space="0" w:color="auto"/>
              <w:bottom w:val="single" w:sz="8" w:space="0" w:color="auto"/>
              <w:right w:val="single" w:sz="8" w:space="0" w:color="auto"/>
            </w:tcBorders>
            <w:vAlign w:val="center"/>
          </w:tcPr>
          <w:p w14:paraId="1AD4B600" w14:textId="77777777" w:rsidR="00AE1F7D" w:rsidRPr="00F12C84" w:rsidRDefault="00907B19" w:rsidP="00AE1F7D">
            <w:pPr>
              <w:widowControl w:val="0"/>
              <w:spacing w:line="256" w:lineRule="auto"/>
              <w:contextualSpacing/>
              <w:jc w:val="center"/>
              <w:outlineLvl w:val="0"/>
              <w:rPr>
                <w:rFonts w:ascii="Wingdings" w:eastAsia="Arial" w:hAnsi="Wingdings" w:cs="Times New Roman"/>
                <w:color w:val="00B050"/>
                <w:sz w:val="44"/>
              </w:rPr>
            </w:pPr>
            <w:r w:rsidRPr="00F12C84">
              <w:rPr>
                <w:rFonts w:ascii="Wingdings" w:eastAsia="Arial" w:hAnsi="Wingdings" w:cs="Times New Roman"/>
                <w:color w:val="00B050"/>
                <w:sz w:val="44"/>
              </w:rPr>
              <w:sym w:font="Wingdings" w:char="F0AB"/>
            </w:r>
          </w:p>
        </w:tc>
        <w:tc>
          <w:tcPr>
            <w:tcW w:w="1285" w:type="dxa"/>
            <w:tcBorders>
              <w:top w:val="single" w:sz="8" w:space="0" w:color="auto"/>
              <w:left w:val="single" w:sz="8" w:space="0" w:color="auto"/>
              <w:bottom w:val="single" w:sz="8" w:space="0" w:color="auto"/>
              <w:right w:val="single" w:sz="8" w:space="0" w:color="auto"/>
            </w:tcBorders>
            <w:vAlign w:val="center"/>
          </w:tcPr>
          <w:p w14:paraId="1AD4B601" w14:textId="77777777" w:rsidR="00AE1F7D" w:rsidRPr="004C7C93" w:rsidRDefault="00907B19" w:rsidP="00AE1F7D">
            <w:pPr>
              <w:widowControl w:val="0"/>
              <w:spacing w:line="256" w:lineRule="auto"/>
              <w:contextualSpacing/>
              <w:jc w:val="center"/>
              <w:outlineLvl w:val="0"/>
              <w:rPr>
                <w:rFonts w:eastAsia="Calibri" w:cs="Times New Roman"/>
                <w:color w:val="808080" w:themeColor="background1" w:themeShade="80"/>
                <w:sz w:val="20"/>
                <w:szCs w:val="20"/>
              </w:rPr>
            </w:pPr>
            <w:r w:rsidRPr="004C7C93">
              <w:rPr>
                <w:rFonts w:eastAsia="Calibri" w:cs="Times New Roman"/>
                <w:color w:val="808080" w:themeColor="background1" w:themeShade="80"/>
                <w:sz w:val="20"/>
                <w:szCs w:val="20"/>
              </w:rPr>
              <w:t>Not reported Q2 2020/21</w:t>
            </w:r>
          </w:p>
        </w:tc>
      </w:tr>
      <w:tr w:rsidR="00066063" w14:paraId="1AD4B60C" w14:textId="77777777" w:rsidTr="00AE1F7D">
        <w:trPr>
          <w:trHeight w:val="890"/>
        </w:trPr>
        <w:tc>
          <w:tcPr>
            <w:tcW w:w="3114" w:type="dxa"/>
            <w:shd w:val="clear" w:color="auto" w:fill="auto"/>
            <w:vAlign w:val="center"/>
          </w:tcPr>
          <w:p w14:paraId="1AD4B603" w14:textId="77777777" w:rsidR="00AE1F7D" w:rsidRPr="00F12C84" w:rsidRDefault="00907B19" w:rsidP="00AE1F7D">
            <w:pPr>
              <w:widowControl w:val="0"/>
              <w:spacing w:line="256" w:lineRule="auto"/>
              <w:contextualSpacing/>
              <w:outlineLvl w:val="0"/>
              <w:rPr>
                <w:rFonts w:eastAsia="Calibri" w:cs="Times New Roman"/>
              </w:rPr>
            </w:pPr>
            <w:bookmarkStart w:id="21" w:name="_Hlk78797100"/>
            <w:r w:rsidRPr="00F12C84">
              <w:rPr>
                <w:rFonts w:eastAsia="Calibri" w:cs="Times New Roman"/>
              </w:rPr>
              <w:t xml:space="preserve">27,500 Trees will be planted in the borough this year </w:t>
            </w:r>
            <w:bookmarkEnd w:id="21"/>
            <w:r w:rsidRPr="00F12C84">
              <w:rPr>
                <w:rFonts w:eastAsia="Calibri" w:cs="Times New Roman"/>
              </w:rPr>
              <w:t>(Cumulative)</w:t>
            </w:r>
          </w:p>
        </w:tc>
        <w:tc>
          <w:tcPr>
            <w:tcW w:w="1171" w:type="dxa"/>
            <w:tcBorders>
              <w:top w:val="single" w:sz="8" w:space="0" w:color="auto"/>
              <w:left w:val="single" w:sz="8" w:space="0" w:color="auto"/>
              <w:bottom w:val="single" w:sz="8" w:space="0" w:color="auto"/>
              <w:right w:val="single" w:sz="8" w:space="0" w:color="auto"/>
            </w:tcBorders>
            <w:vAlign w:val="center"/>
          </w:tcPr>
          <w:p w14:paraId="1AD4B604"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398" w:type="dxa"/>
            <w:shd w:val="clear" w:color="auto" w:fill="auto"/>
            <w:vAlign w:val="center"/>
          </w:tcPr>
          <w:p w14:paraId="1AD4B605"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27,500</w:t>
            </w:r>
          </w:p>
          <w:p w14:paraId="1AD4B606"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(Annual)</w:t>
            </w:r>
          </w:p>
        </w:tc>
        <w:tc>
          <w:tcPr>
            <w:tcW w:w="1564" w:type="dxa"/>
            <w:vAlign w:val="center"/>
          </w:tcPr>
          <w:p w14:paraId="1AD4B607" w14:textId="77777777" w:rsidR="00AE1F7D" w:rsidRDefault="00907B19" w:rsidP="00AE1F7D">
            <w:pPr>
              <w:widowControl w:val="0"/>
              <w:spacing w:line="256" w:lineRule="auto"/>
              <w:contextualSpacing/>
              <w:jc w:val="center"/>
              <w:outlineLvl w:val="0"/>
              <w:rPr>
                <w:rFonts w:eastAsia="Arial" w:cs="Times New Roman"/>
                <w:lang w:val="en-US"/>
              </w:rPr>
            </w:pPr>
            <w:r>
              <w:rPr>
                <w:rFonts w:eastAsia="Arial" w:cs="Times New Roman"/>
                <w:lang w:val="en-US"/>
              </w:rPr>
              <w:t>0</w:t>
            </w:r>
          </w:p>
          <w:p w14:paraId="1AD4B608" w14:textId="77777777" w:rsidR="00AE1F7D" w:rsidRDefault="00907B19" w:rsidP="00AE1F7D">
            <w:pPr>
              <w:widowControl w:val="0"/>
              <w:spacing w:line="256" w:lineRule="auto"/>
              <w:contextualSpacing/>
              <w:jc w:val="center"/>
              <w:outlineLvl w:val="0"/>
              <w:rPr>
                <w:rStyle w:val="FootnoteReference"/>
                <w:rFonts w:eastAsia="Calibri" w:cs="Times New Roman"/>
                <w:b/>
                <w:bCs/>
              </w:rPr>
            </w:pPr>
            <w:r>
              <w:rPr>
                <w:rFonts w:eastAsia="Arial" w:cs="Times New Roman"/>
                <w:lang w:val="en-US"/>
              </w:rPr>
              <w:t>(Q1:2021/22)</w:t>
            </w:r>
          </w:p>
        </w:tc>
        <w:tc>
          <w:tcPr>
            <w:tcW w:w="1278" w:type="dxa"/>
            <w:shd w:val="clear" w:color="auto" w:fill="auto"/>
            <w:vAlign w:val="center"/>
          </w:tcPr>
          <w:p w14:paraId="1AD4B609" w14:textId="77777777" w:rsidR="00AE1F7D" w:rsidRPr="001E0A6F" w:rsidRDefault="00907B19" w:rsidP="00AE1F7D">
            <w:pPr>
              <w:widowControl w:val="0"/>
              <w:spacing w:line="256" w:lineRule="auto"/>
              <w:contextualSpacing/>
              <w:jc w:val="center"/>
              <w:outlineLvl w:val="0"/>
              <w:rPr>
                <w:rFonts w:eastAsia="Calibri" w:cs="Times New Roman"/>
                <w:b/>
                <w:bCs/>
              </w:rPr>
            </w:pPr>
            <w:r>
              <w:rPr>
                <w:rStyle w:val="FootnoteReference"/>
                <w:rFonts w:eastAsia="Calibri" w:cs="Times New Roman"/>
                <w:b/>
                <w:bCs/>
              </w:rPr>
              <w:footnoteReference w:id="1"/>
            </w:r>
            <w:r w:rsidRPr="001E0A6F">
              <w:rPr>
                <w:rFonts w:eastAsia="Calibri" w:cs="Times New Roman"/>
                <w:b/>
                <w:bCs/>
              </w:rPr>
              <w:t>0</w:t>
            </w:r>
          </w:p>
        </w:tc>
        <w:tc>
          <w:tcPr>
            <w:tcW w:w="1138" w:type="dxa"/>
            <w:tcBorders>
              <w:top w:val="single" w:sz="8" w:space="0" w:color="auto"/>
              <w:left w:val="single" w:sz="8" w:space="0" w:color="auto"/>
              <w:bottom w:val="single" w:sz="8" w:space="0" w:color="auto"/>
              <w:right w:val="single" w:sz="8" w:space="0" w:color="auto"/>
            </w:tcBorders>
            <w:vAlign w:val="center"/>
          </w:tcPr>
          <w:p w14:paraId="1AD4B60A" w14:textId="77777777" w:rsidR="00AE1F7D" w:rsidRPr="00F12C84" w:rsidRDefault="00907B19" w:rsidP="00AE1F7D">
            <w:pPr>
              <w:widowControl w:val="0"/>
              <w:spacing w:line="256" w:lineRule="auto"/>
              <w:contextualSpacing/>
              <w:jc w:val="center"/>
              <w:outlineLvl w:val="0"/>
              <w:rPr>
                <w:rFonts w:ascii="Wingdings" w:eastAsia="Arial" w:hAnsi="Wingdings" w:cs="Times New Roman"/>
                <w:color w:val="00B050"/>
                <w:sz w:val="44"/>
              </w:rPr>
            </w:pPr>
            <w:r w:rsidRPr="00F12C84">
              <w:rPr>
                <w:rFonts w:ascii="Wingdings" w:eastAsia="Arial" w:hAnsi="Wingdings" w:cs="Times New Roman"/>
                <w:color w:val="00B050"/>
                <w:sz w:val="44"/>
              </w:rPr>
              <w:sym w:font="Wingdings" w:char="F0AB"/>
            </w:r>
          </w:p>
        </w:tc>
        <w:tc>
          <w:tcPr>
            <w:tcW w:w="1285" w:type="dxa"/>
            <w:tcBorders>
              <w:top w:val="single" w:sz="8" w:space="0" w:color="auto"/>
              <w:left w:val="single" w:sz="8" w:space="0" w:color="auto"/>
              <w:bottom w:val="single" w:sz="8" w:space="0" w:color="auto"/>
              <w:right w:val="single" w:sz="8" w:space="0" w:color="auto"/>
            </w:tcBorders>
            <w:vAlign w:val="center"/>
          </w:tcPr>
          <w:p w14:paraId="1AD4B60B" w14:textId="77777777" w:rsidR="00AE1F7D" w:rsidRPr="00381FB9" w:rsidRDefault="00907B19" w:rsidP="00AE1F7D">
            <w:pPr>
              <w:widowControl w:val="0"/>
              <w:spacing w:line="256" w:lineRule="auto"/>
              <w:contextualSpacing/>
              <w:jc w:val="center"/>
              <w:outlineLvl w:val="0"/>
              <w:rPr>
                <w:rFonts w:eastAsia="Calibri" w:cs="Times New Roman"/>
                <w:color w:val="FF0000"/>
                <w:sz w:val="20"/>
                <w:szCs w:val="20"/>
              </w:rPr>
            </w:pPr>
            <w:r w:rsidRPr="00381FB9">
              <w:rPr>
                <w:rFonts w:eastAsia="Calibri" w:cs="Times New Roman"/>
                <w:color w:val="FF0000"/>
                <w:sz w:val="20"/>
                <w:szCs w:val="20"/>
              </w:rPr>
              <w:t>Worse than Q2 2020/21</w:t>
            </w:r>
          </w:p>
        </w:tc>
      </w:tr>
      <w:tr w:rsidR="00066063" w14:paraId="1AD4B616" w14:textId="77777777" w:rsidTr="00AE1F7D">
        <w:trPr>
          <w:trHeight w:val="642"/>
        </w:trPr>
        <w:tc>
          <w:tcPr>
            <w:tcW w:w="3114" w:type="dxa"/>
            <w:shd w:val="clear" w:color="auto" w:fill="auto"/>
            <w:vAlign w:val="center"/>
          </w:tcPr>
          <w:p w14:paraId="1AD4B60D" w14:textId="77777777" w:rsidR="00AE1F7D" w:rsidRPr="00F12C84" w:rsidRDefault="00907B19" w:rsidP="00AE1F7D">
            <w:pPr>
              <w:widowControl w:val="0"/>
              <w:spacing w:line="256" w:lineRule="auto"/>
              <w:contextualSpacing/>
              <w:outlineLvl w:val="0"/>
              <w:rPr>
                <w:rFonts w:eastAsia="Calibri" w:cs="Times New Roman"/>
              </w:rPr>
            </w:pPr>
            <w:r w:rsidRPr="00F12C84">
              <w:rPr>
                <w:rFonts w:eastAsia="Calibri" w:cs="Times New Roman"/>
              </w:rPr>
              <w:t>The number of people who are prevented from becoming homeless is increased</w:t>
            </w:r>
          </w:p>
        </w:tc>
        <w:tc>
          <w:tcPr>
            <w:tcW w:w="1171" w:type="dxa"/>
            <w:tcBorders>
              <w:top w:val="single" w:sz="8" w:space="0" w:color="auto"/>
              <w:left w:val="single" w:sz="8" w:space="0" w:color="auto"/>
              <w:bottom w:val="single" w:sz="8" w:space="0" w:color="auto"/>
              <w:right w:val="single" w:sz="8" w:space="0" w:color="auto"/>
            </w:tcBorders>
            <w:vAlign w:val="center"/>
          </w:tcPr>
          <w:p w14:paraId="1AD4B60E"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398" w:type="dxa"/>
            <w:shd w:val="clear" w:color="auto" w:fill="auto"/>
            <w:vAlign w:val="center"/>
          </w:tcPr>
          <w:p w14:paraId="1AD4B60F" w14:textId="77777777" w:rsidR="00AE1F7D" w:rsidRDefault="00907B19" w:rsidP="00AE1F7D">
            <w:pPr>
              <w:widowControl w:val="0"/>
              <w:spacing w:line="256" w:lineRule="auto"/>
              <w:contextualSpacing/>
              <w:jc w:val="center"/>
              <w:outlineLvl w:val="0"/>
              <w:rPr>
                <w:rFonts w:eastAsia="Calibri" w:cs="Times New Roman"/>
              </w:rPr>
            </w:pPr>
            <w:r>
              <w:rPr>
                <w:rFonts w:eastAsia="Calibri" w:cs="Times New Roman"/>
              </w:rPr>
              <w:t xml:space="preserve">90 </w:t>
            </w:r>
          </w:p>
          <w:p w14:paraId="1AD4B610" w14:textId="77777777" w:rsidR="00AE1F7D" w:rsidRPr="00F12C84" w:rsidRDefault="00907B19" w:rsidP="00AE1F7D">
            <w:pPr>
              <w:widowControl w:val="0"/>
              <w:spacing w:line="256" w:lineRule="auto"/>
              <w:contextualSpacing/>
              <w:jc w:val="center"/>
              <w:outlineLvl w:val="0"/>
              <w:rPr>
                <w:rFonts w:eastAsia="Calibri" w:cs="Times New Roman"/>
              </w:rPr>
            </w:pPr>
            <w:r w:rsidRPr="00826EB3">
              <w:rPr>
                <w:rFonts w:eastAsia="Calibri" w:cs="Times New Roman"/>
                <w:sz w:val="20"/>
                <w:szCs w:val="20"/>
              </w:rPr>
              <w:t>(Q</w:t>
            </w:r>
            <w:r>
              <w:rPr>
                <w:rFonts w:eastAsia="Calibri" w:cs="Times New Roman"/>
                <w:sz w:val="20"/>
                <w:szCs w:val="20"/>
              </w:rPr>
              <w:t>2</w:t>
            </w:r>
            <w:r w:rsidRPr="00826EB3">
              <w:rPr>
                <w:rFonts w:eastAsia="Calibri" w:cs="Times New Roman"/>
                <w:sz w:val="20"/>
                <w:szCs w:val="20"/>
              </w:rPr>
              <w:t>:</w:t>
            </w:r>
            <w:r>
              <w:rPr>
                <w:rFonts w:eastAsia="Calibri" w:cs="Times New Roman"/>
                <w:sz w:val="20"/>
                <w:szCs w:val="20"/>
              </w:rPr>
              <w:t>2</w:t>
            </w:r>
            <w:r w:rsidRPr="00826EB3">
              <w:rPr>
                <w:rFonts w:eastAsia="Calibri" w:cs="Times New Roman"/>
                <w:sz w:val="20"/>
                <w:szCs w:val="20"/>
              </w:rPr>
              <w:t>020/21)</w:t>
            </w:r>
          </w:p>
        </w:tc>
        <w:tc>
          <w:tcPr>
            <w:tcW w:w="1564" w:type="dxa"/>
            <w:vAlign w:val="center"/>
          </w:tcPr>
          <w:p w14:paraId="1AD4B611" w14:textId="77777777" w:rsidR="00AE1F7D" w:rsidRDefault="00907B19" w:rsidP="00AE1F7D">
            <w:pPr>
              <w:widowControl w:val="0"/>
              <w:spacing w:line="256" w:lineRule="auto"/>
              <w:contextualSpacing/>
              <w:jc w:val="center"/>
              <w:outlineLvl w:val="0"/>
              <w:rPr>
                <w:rFonts w:eastAsia="Calibri" w:cs="Times New Roman"/>
                <w:b/>
                <w:bCs/>
              </w:rPr>
            </w:pPr>
            <w:r>
              <w:rPr>
                <w:rFonts w:eastAsia="Calibri" w:cs="Times New Roman"/>
                <w:b/>
                <w:bCs/>
              </w:rPr>
              <w:t>83</w:t>
            </w:r>
          </w:p>
          <w:p w14:paraId="1AD4B612" w14:textId="77777777" w:rsidR="00AE1F7D" w:rsidRDefault="00907B19" w:rsidP="00AE1F7D">
            <w:pPr>
              <w:widowControl w:val="0"/>
              <w:spacing w:line="256" w:lineRule="auto"/>
              <w:contextualSpacing/>
              <w:jc w:val="center"/>
              <w:outlineLvl w:val="0"/>
              <w:rPr>
                <w:rFonts w:eastAsia="Calibri" w:cs="Times New Roman"/>
                <w:b/>
                <w:bCs/>
              </w:rPr>
            </w:pPr>
            <w:r>
              <w:rPr>
                <w:rFonts w:eastAsia="Arial" w:cs="Times New Roman"/>
                <w:lang w:val="en-US"/>
              </w:rPr>
              <w:t>(Q1:2021/22)</w:t>
            </w:r>
          </w:p>
        </w:tc>
        <w:tc>
          <w:tcPr>
            <w:tcW w:w="1278" w:type="dxa"/>
            <w:shd w:val="clear" w:color="auto" w:fill="auto"/>
            <w:vAlign w:val="center"/>
          </w:tcPr>
          <w:p w14:paraId="1AD4B613" w14:textId="77777777" w:rsidR="00AE1F7D" w:rsidRPr="001E0A6F" w:rsidRDefault="00907B19" w:rsidP="00AE1F7D">
            <w:pPr>
              <w:widowControl w:val="0"/>
              <w:spacing w:line="256" w:lineRule="auto"/>
              <w:contextualSpacing/>
              <w:jc w:val="center"/>
              <w:outlineLvl w:val="0"/>
              <w:rPr>
                <w:rFonts w:eastAsia="Calibri" w:cs="Times New Roman"/>
                <w:b/>
                <w:bCs/>
                <w:highlight w:val="yellow"/>
              </w:rPr>
            </w:pPr>
            <w:r w:rsidRPr="00FC7395">
              <w:rPr>
                <w:rFonts w:eastAsia="Calibri" w:cs="Times New Roman"/>
                <w:b/>
                <w:bCs/>
              </w:rPr>
              <w:t>75</w:t>
            </w:r>
          </w:p>
        </w:tc>
        <w:tc>
          <w:tcPr>
            <w:tcW w:w="1138" w:type="dxa"/>
            <w:tcBorders>
              <w:top w:val="single" w:sz="8" w:space="0" w:color="auto"/>
              <w:left w:val="single" w:sz="8" w:space="0" w:color="auto"/>
              <w:bottom w:val="single" w:sz="8" w:space="0" w:color="auto"/>
              <w:right w:val="single" w:sz="8" w:space="0" w:color="auto"/>
            </w:tcBorders>
            <w:vAlign w:val="center"/>
          </w:tcPr>
          <w:p w14:paraId="1AD4B614" w14:textId="77777777" w:rsidR="00AE1F7D" w:rsidRPr="00F12C84" w:rsidRDefault="00907B19" w:rsidP="00AE1F7D">
            <w:pPr>
              <w:widowControl w:val="0"/>
              <w:spacing w:line="256" w:lineRule="auto"/>
              <w:contextualSpacing/>
              <w:jc w:val="center"/>
              <w:outlineLvl w:val="0"/>
              <w:rPr>
                <w:rFonts w:ascii="Wingdings" w:eastAsia="Arial" w:hAnsi="Wingdings" w:cs="Times New Roman"/>
                <w:color w:val="00B050"/>
                <w:sz w:val="44"/>
              </w:rPr>
            </w:pPr>
            <w:r w:rsidRPr="00F12C84">
              <w:rPr>
                <w:rFonts w:ascii="Wingdings 3" w:eastAsia="Arial" w:hAnsi="Wingdings 3" w:cs="Times New Roman"/>
                <w:color w:val="FF0000"/>
                <w:sz w:val="32"/>
              </w:rPr>
              <w:sym w:font="Wingdings 3" w:char="F070"/>
            </w:r>
          </w:p>
        </w:tc>
        <w:tc>
          <w:tcPr>
            <w:tcW w:w="1285" w:type="dxa"/>
            <w:tcBorders>
              <w:top w:val="single" w:sz="8" w:space="0" w:color="auto"/>
              <w:left w:val="single" w:sz="8" w:space="0" w:color="auto"/>
              <w:bottom w:val="single" w:sz="8" w:space="0" w:color="auto"/>
              <w:right w:val="single" w:sz="8" w:space="0" w:color="auto"/>
            </w:tcBorders>
            <w:vAlign w:val="center"/>
          </w:tcPr>
          <w:p w14:paraId="1AD4B615" w14:textId="77777777" w:rsidR="00AE1F7D" w:rsidRPr="00F12C84" w:rsidRDefault="00907B19" w:rsidP="00AE1F7D">
            <w:pPr>
              <w:widowControl w:val="0"/>
              <w:spacing w:line="256" w:lineRule="auto"/>
              <w:contextualSpacing/>
              <w:jc w:val="center"/>
              <w:outlineLvl w:val="0"/>
              <w:rPr>
                <w:rFonts w:eastAsia="Calibri" w:cs="Times New Roman"/>
                <w:color w:val="00B050"/>
              </w:rPr>
            </w:pPr>
            <w:r w:rsidRPr="00381FB9">
              <w:rPr>
                <w:rFonts w:eastAsia="Calibri" w:cs="Times New Roman"/>
                <w:color w:val="FF0000"/>
                <w:sz w:val="20"/>
                <w:szCs w:val="20"/>
              </w:rPr>
              <w:t>Worse than Q2 2020/21</w:t>
            </w:r>
          </w:p>
        </w:tc>
      </w:tr>
      <w:tr w:rsidR="00066063" w14:paraId="1AD4B620" w14:textId="77777777" w:rsidTr="00AE1F7D">
        <w:trPr>
          <w:trHeight w:val="642"/>
        </w:trPr>
        <w:tc>
          <w:tcPr>
            <w:tcW w:w="3114" w:type="dxa"/>
            <w:shd w:val="clear" w:color="auto" w:fill="auto"/>
            <w:vAlign w:val="center"/>
          </w:tcPr>
          <w:p w14:paraId="1AD4B617" w14:textId="77777777" w:rsidR="00AE1F7D" w:rsidRPr="00F12C84" w:rsidRDefault="00907B19" w:rsidP="00AE1F7D">
            <w:pPr>
              <w:widowControl w:val="0"/>
              <w:spacing w:line="256" w:lineRule="auto"/>
              <w:contextualSpacing/>
              <w:outlineLvl w:val="0"/>
              <w:rPr>
                <w:rFonts w:eastAsia="Calibri" w:cs="Times New Roman"/>
              </w:rPr>
            </w:pPr>
            <w:bookmarkStart w:id="22" w:name="_Hlk84604866"/>
            <w:r>
              <w:rPr>
                <w:rFonts w:eastAsia="Calibri" w:cs="Times New Roman"/>
              </w:rPr>
              <w:t>Number of affordable homes delivered</w:t>
            </w:r>
            <w:bookmarkEnd w:id="22"/>
          </w:p>
        </w:tc>
        <w:tc>
          <w:tcPr>
            <w:tcW w:w="1171" w:type="dxa"/>
            <w:tcBorders>
              <w:top w:val="single" w:sz="8" w:space="0" w:color="auto"/>
              <w:left w:val="single" w:sz="8" w:space="0" w:color="auto"/>
              <w:bottom w:val="single" w:sz="8" w:space="0" w:color="auto"/>
              <w:right w:val="single" w:sz="8" w:space="0" w:color="auto"/>
            </w:tcBorders>
            <w:vAlign w:val="center"/>
          </w:tcPr>
          <w:p w14:paraId="1AD4B618" w14:textId="77777777" w:rsidR="00AE1F7D" w:rsidRPr="00F12C84" w:rsidRDefault="00907B19" w:rsidP="00AE1F7D">
            <w:pPr>
              <w:widowControl w:val="0"/>
              <w:spacing w:line="256" w:lineRule="auto"/>
              <w:contextualSpacing/>
              <w:jc w:val="center"/>
              <w:outlineLvl w:val="0"/>
              <w:rPr>
                <w:rFonts w:eastAsia="Calibri" w:cs="Times New Roman"/>
              </w:rPr>
            </w:pPr>
            <w:r>
              <w:rPr>
                <w:rFonts w:eastAsia="Calibri" w:cs="Times New Roman"/>
              </w:rPr>
              <w:t>Bigger is better</w:t>
            </w:r>
          </w:p>
        </w:tc>
        <w:tc>
          <w:tcPr>
            <w:tcW w:w="1398" w:type="dxa"/>
            <w:shd w:val="clear" w:color="auto" w:fill="auto"/>
            <w:vAlign w:val="center"/>
          </w:tcPr>
          <w:p w14:paraId="1AD4B619" w14:textId="77777777" w:rsidR="00AE1F7D" w:rsidRDefault="00907B19" w:rsidP="00AE1F7D">
            <w:pPr>
              <w:widowControl w:val="0"/>
              <w:spacing w:line="256" w:lineRule="auto"/>
              <w:contextualSpacing/>
              <w:jc w:val="center"/>
              <w:outlineLvl w:val="0"/>
              <w:rPr>
                <w:rFonts w:eastAsia="Calibri" w:cs="Times New Roman"/>
              </w:rPr>
            </w:pPr>
            <w:r>
              <w:rPr>
                <w:rFonts w:eastAsia="Calibri" w:cs="Times New Roman"/>
              </w:rPr>
              <w:t>40</w:t>
            </w:r>
          </w:p>
          <w:p w14:paraId="1AD4B61A" w14:textId="77777777" w:rsidR="00AE1F7D" w:rsidRPr="00DF3C7B" w:rsidRDefault="00907B19" w:rsidP="00AE1F7D">
            <w:pPr>
              <w:widowControl w:val="0"/>
              <w:spacing w:line="256" w:lineRule="auto"/>
              <w:contextualSpacing/>
              <w:jc w:val="center"/>
              <w:outlineLvl w:val="0"/>
              <w:rPr>
                <w:rFonts w:eastAsia="Calibri" w:cs="Times New Roman"/>
                <w:highlight w:val="yellow"/>
              </w:rPr>
            </w:pPr>
            <w:r>
              <w:rPr>
                <w:rFonts w:eastAsia="Calibri" w:cs="Times New Roman"/>
              </w:rPr>
              <w:t>(</w:t>
            </w:r>
            <w:r w:rsidRPr="008118E4">
              <w:rPr>
                <w:rFonts w:eastAsia="Calibri" w:cs="Times New Roman"/>
                <w:sz w:val="20"/>
                <w:szCs w:val="20"/>
              </w:rPr>
              <w:t>Annual -80)</w:t>
            </w:r>
          </w:p>
        </w:tc>
        <w:tc>
          <w:tcPr>
            <w:tcW w:w="1564" w:type="dxa"/>
            <w:shd w:val="clear" w:color="auto" w:fill="auto"/>
            <w:vAlign w:val="center"/>
          </w:tcPr>
          <w:p w14:paraId="1AD4B61B" w14:textId="77777777" w:rsidR="00AE1F7D" w:rsidRDefault="00907B19" w:rsidP="00AE1F7D">
            <w:pPr>
              <w:widowControl w:val="0"/>
              <w:spacing w:line="256" w:lineRule="auto"/>
              <w:contextualSpacing/>
              <w:jc w:val="center"/>
              <w:outlineLvl w:val="0"/>
              <w:rPr>
                <w:rFonts w:eastAsia="Calibri" w:cs="Times New Roman"/>
              </w:rPr>
            </w:pPr>
            <w:r>
              <w:rPr>
                <w:rFonts w:eastAsia="Calibri" w:cs="Times New Roman"/>
              </w:rPr>
              <w:t>12</w:t>
            </w:r>
          </w:p>
          <w:p w14:paraId="1AD4B61C" w14:textId="77777777" w:rsidR="00AE1F7D" w:rsidRDefault="00907B19" w:rsidP="00AE1F7D">
            <w:pPr>
              <w:widowControl w:val="0"/>
              <w:spacing w:line="256" w:lineRule="auto"/>
              <w:contextualSpacing/>
              <w:jc w:val="center"/>
              <w:outlineLvl w:val="0"/>
              <w:rPr>
                <w:rFonts w:eastAsia="Calibri" w:cs="Times New Roman"/>
                <w:b/>
                <w:bCs/>
              </w:rPr>
            </w:pPr>
            <w:r>
              <w:rPr>
                <w:rFonts w:eastAsia="Calibri" w:cs="Times New Roman"/>
              </w:rPr>
              <w:t>(Q2: 2020/21)</w:t>
            </w:r>
          </w:p>
        </w:tc>
        <w:tc>
          <w:tcPr>
            <w:tcW w:w="1278" w:type="dxa"/>
            <w:shd w:val="clear" w:color="auto" w:fill="auto"/>
            <w:vAlign w:val="center"/>
          </w:tcPr>
          <w:p w14:paraId="1AD4B61D" w14:textId="77777777" w:rsidR="00AE1F7D" w:rsidRPr="00DF3C7B" w:rsidRDefault="00907B19" w:rsidP="00AE1F7D">
            <w:pPr>
              <w:widowControl w:val="0"/>
              <w:spacing w:line="256" w:lineRule="auto"/>
              <w:contextualSpacing/>
              <w:jc w:val="center"/>
              <w:outlineLvl w:val="0"/>
              <w:rPr>
                <w:rFonts w:eastAsia="Calibri" w:cs="Times New Roman"/>
                <w:b/>
                <w:bCs/>
                <w:highlight w:val="yellow"/>
              </w:rPr>
            </w:pPr>
            <w:r>
              <w:rPr>
                <w:rFonts w:eastAsia="Calibri" w:cs="Times New Roman"/>
                <w:b/>
                <w:bCs/>
              </w:rPr>
              <w:t>27</w:t>
            </w:r>
          </w:p>
        </w:tc>
        <w:tc>
          <w:tcPr>
            <w:tcW w:w="1138" w:type="dxa"/>
            <w:tcBorders>
              <w:top w:val="single" w:sz="8" w:space="0" w:color="auto"/>
              <w:left w:val="single" w:sz="8" w:space="0" w:color="auto"/>
              <w:bottom w:val="single" w:sz="8" w:space="0" w:color="auto"/>
              <w:right w:val="single" w:sz="8" w:space="0" w:color="auto"/>
            </w:tcBorders>
            <w:vAlign w:val="center"/>
          </w:tcPr>
          <w:p w14:paraId="1AD4B61E" w14:textId="77777777" w:rsidR="00AE1F7D" w:rsidRPr="00F12C84" w:rsidRDefault="00907B19" w:rsidP="00AE1F7D">
            <w:pPr>
              <w:widowControl w:val="0"/>
              <w:spacing w:line="256" w:lineRule="auto"/>
              <w:contextualSpacing/>
              <w:jc w:val="center"/>
              <w:outlineLvl w:val="0"/>
              <w:rPr>
                <w:rFonts w:ascii="Wingdings" w:eastAsia="Arial" w:hAnsi="Wingdings" w:cs="Times New Roman"/>
                <w:color w:val="00B050"/>
                <w:sz w:val="44"/>
              </w:rPr>
            </w:pPr>
            <w:r w:rsidRPr="00F12C84">
              <w:rPr>
                <w:rFonts w:ascii="Wingdings 3" w:eastAsia="Arial" w:hAnsi="Wingdings 3" w:cs="Times New Roman"/>
                <w:color w:val="FF0000"/>
                <w:sz w:val="32"/>
              </w:rPr>
              <w:sym w:font="Wingdings 3" w:char="F070"/>
            </w:r>
          </w:p>
        </w:tc>
        <w:tc>
          <w:tcPr>
            <w:tcW w:w="1285" w:type="dxa"/>
            <w:tcBorders>
              <w:top w:val="single" w:sz="8" w:space="0" w:color="auto"/>
              <w:left w:val="single" w:sz="8" w:space="0" w:color="auto"/>
              <w:bottom w:val="single" w:sz="8" w:space="0" w:color="auto"/>
              <w:right w:val="single" w:sz="8" w:space="0" w:color="auto"/>
            </w:tcBorders>
            <w:vAlign w:val="center"/>
          </w:tcPr>
          <w:p w14:paraId="1AD4B61F" w14:textId="77777777" w:rsidR="00AE1F7D" w:rsidRPr="00DF3C7B" w:rsidRDefault="00907B19" w:rsidP="00AE1F7D">
            <w:pPr>
              <w:widowControl w:val="0"/>
              <w:spacing w:line="256" w:lineRule="auto"/>
              <w:contextualSpacing/>
              <w:jc w:val="center"/>
              <w:outlineLvl w:val="0"/>
              <w:rPr>
                <w:rFonts w:eastAsia="Calibri" w:cs="Times New Roman"/>
                <w:color w:val="00B050"/>
                <w:sz w:val="20"/>
                <w:szCs w:val="20"/>
              </w:rPr>
            </w:pPr>
            <w:r w:rsidRPr="00DF3C7B">
              <w:rPr>
                <w:rFonts w:eastAsia="Calibri" w:cs="Times New Roman"/>
                <w:color w:val="00B050"/>
                <w:sz w:val="20"/>
                <w:szCs w:val="20"/>
              </w:rPr>
              <w:t>Better than Q2 2020/21</w:t>
            </w:r>
          </w:p>
        </w:tc>
      </w:tr>
      <w:bookmarkEnd w:id="19"/>
    </w:tbl>
    <w:p w14:paraId="1AD4B621" w14:textId="77777777" w:rsidR="00AE1F7D" w:rsidRDefault="007474A4" w:rsidP="00AE1F7D">
      <w:pPr>
        <w:rPr>
          <w:i/>
          <w:iCs/>
        </w:rPr>
      </w:pPr>
    </w:p>
    <w:p w14:paraId="1AD4B622" w14:textId="77777777" w:rsidR="00AE1F7D" w:rsidRDefault="007474A4" w:rsidP="00AE1F7D">
      <w:pPr>
        <w:rPr>
          <w:i/>
          <w:iCs/>
        </w:rPr>
      </w:pPr>
    </w:p>
    <w:p w14:paraId="1AD4B623" w14:textId="77777777" w:rsidR="00AE1F7D" w:rsidRDefault="00907B19" w:rsidP="00AE1F7D">
      <w:pPr>
        <w:pStyle w:val="Heading2"/>
        <w:spacing w:before="0" w:beforeAutospacing="0"/>
        <w:ind w:left="-851"/>
        <w:rPr>
          <w:rFonts w:asciiTheme="majorHAnsi" w:hAnsiTheme="majorHAnsi" w:cstheme="majorHAnsi"/>
          <w:sz w:val="22"/>
          <w:szCs w:val="22"/>
        </w:rPr>
      </w:pPr>
      <w:r w:rsidRPr="00887342">
        <w:rPr>
          <w:rFonts w:asciiTheme="majorHAnsi" w:hAnsiTheme="majorHAnsi" w:cstheme="majorHAnsi"/>
          <w:sz w:val="22"/>
          <w:szCs w:val="22"/>
        </w:rPr>
        <w:lastRenderedPageBreak/>
        <w:t xml:space="preserve">Appendix </w:t>
      </w:r>
      <w:r w:rsidRPr="00E0291F">
        <w:rPr>
          <w:rFonts w:asciiTheme="majorHAnsi" w:hAnsiTheme="majorHAnsi" w:cstheme="majorHAnsi"/>
          <w:sz w:val="22"/>
        </w:rPr>
        <w:t>2 – Key Organisational Performance Measures</w:t>
      </w:r>
    </w:p>
    <w:tbl>
      <w:tblPr>
        <w:tblW w:w="1117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295"/>
        <w:gridCol w:w="1540"/>
        <w:gridCol w:w="1021"/>
        <w:gridCol w:w="1024"/>
        <w:gridCol w:w="1191"/>
      </w:tblGrid>
      <w:tr w:rsidR="00066063" w14:paraId="1AD4B62D" w14:textId="77777777" w:rsidTr="00AE1F7D">
        <w:trPr>
          <w:trHeight w:val="279"/>
        </w:trPr>
        <w:tc>
          <w:tcPr>
            <w:tcW w:w="3828" w:type="dxa"/>
            <w:tcBorders>
              <w:top w:val="single" w:sz="8" w:space="0" w:color="auto"/>
              <w:left w:val="single" w:sz="8" w:space="0" w:color="auto"/>
              <w:bottom w:val="single" w:sz="8" w:space="0" w:color="auto"/>
              <w:right w:val="single" w:sz="8" w:space="0" w:color="auto"/>
            </w:tcBorders>
            <w:shd w:val="clear" w:color="auto" w:fill="BFBFBF"/>
            <w:vAlign w:val="center"/>
          </w:tcPr>
          <w:p w14:paraId="1AD4B624" w14:textId="77777777" w:rsidR="00AE1F7D" w:rsidRPr="00F12C84" w:rsidRDefault="00907B19" w:rsidP="00AE1F7D">
            <w:pPr>
              <w:widowControl w:val="0"/>
              <w:outlineLvl w:val="0"/>
              <w:rPr>
                <w:rFonts w:eastAsia="Calibri" w:cs="Times New Roman"/>
                <w:b/>
                <w:bCs/>
              </w:rPr>
            </w:pPr>
            <w:bookmarkStart w:id="23" w:name="_Hlk65236075"/>
            <w:r w:rsidRPr="00F12C84">
              <w:rPr>
                <w:rFonts w:eastAsia="Calibri" w:cs="Times New Roman"/>
                <w:b/>
                <w:bCs/>
              </w:rPr>
              <w:t>Indicator Name</w:t>
            </w:r>
          </w:p>
        </w:tc>
        <w:tc>
          <w:tcPr>
            <w:tcW w:w="1276" w:type="dxa"/>
            <w:tcBorders>
              <w:top w:val="single" w:sz="8" w:space="0" w:color="auto"/>
              <w:left w:val="single" w:sz="8" w:space="0" w:color="auto"/>
              <w:bottom w:val="single" w:sz="8" w:space="0" w:color="auto"/>
            </w:tcBorders>
            <w:shd w:val="clear" w:color="auto" w:fill="BFBFBF"/>
            <w:vAlign w:val="center"/>
          </w:tcPr>
          <w:p w14:paraId="1AD4B625" w14:textId="77777777" w:rsidR="00AE1F7D" w:rsidRPr="00F12C84" w:rsidRDefault="00907B19" w:rsidP="00AE1F7D">
            <w:pPr>
              <w:widowControl w:val="0"/>
              <w:jc w:val="center"/>
              <w:outlineLvl w:val="0"/>
              <w:rPr>
                <w:rFonts w:eastAsia="Calibri" w:cs="Times New Roman"/>
                <w:b/>
                <w:bCs/>
              </w:rPr>
            </w:pPr>
            <w:r w:rsidRPr="00F12C84">
              <w:rPr>
                <w:rFonts w:eastAsia="Calibri" w:cs="Times New Roman"/>
                <w:b/>
                <w:bCs/>
              </w:rPr>
              <w:t>Polarity</w:t>
            </w:r>
          </w:p>
        </w:tc>
        <w:tc>
          <w:tcPr>
            <w:tcW w:w="1295" w:type="dxa"/>
            <w:tcBorders>
              <w:top w:val="single" w:sz="8" w:space="0" w:color="auto"/>
              <w:bottom w:val="single" w:sz="8" w:space="0" w:color="auto"/>
            </w:tcBorders>
            <w:shd w:val="clear" w:color="auto" w:fill="BFBFBF"/>
            <w:vAlign w:val="center"/>
          </w:tcPr>
          <w:p w14:paraId="1AD4B626" w14:textId="77777777" w:rsidR="00AE1F7D" w:rsidRPr="00F12C84" w:rsidRDefault="00907B19" w:rsidP="00AE1F7D">
            <w:pPr>
              <w:widowControl w:val="0"/>
              <w:jc w:val="center"/>
              <w:outlineLvl w:val="0"/>
              <w:rPr>
                <w:rFonts w:eastAsia="Calibri" w:cs="Times New Roman"/>
                <w:b/>
                <w:bCs/>
              </w:rPr>
            </w:pPr>
            <w:r w:rsidRPr="00F12C84">
              <w:rPr>
                <w:rFonts w:eastAsia="Calibri" w:cs="Times New Roman"/>
                <w:b/>
                <w:bCs/>
              </w:rPr>
              <w:t>Target</w:t>
            </w:r>
          </w:p>
        </w:tc>
        <w:tc>
          <w:tcPr>
            <w:tcW w:w="1540" w:type="dxa"/>
            <w:tcBorders>
              <w:top w:val="single" w:sz="8" w:space="0" w:color="auto"/>
              <w:bottom w:val="single" w:sz="8" w:space="0" w:color="auto"/>
            </w:tcBorders>
            <w:shd w:val="clear" w:color="auto" w:fill="BFBFBF" w:themeFill="background1" w:themeFillShade="BF"/>
            <w:vAlign w:val="center"/>
          </w:tcPr>
          <w:p w14:paraId="1AD4B627" w14:textId="77777777" w:rsidR="00AE1F7D" w:rsidRDefault="00907B19" w:rsidP="00AE1F7D">
            <w:pPr>
              <w:widowControl w:val="0"/>
              <w:spacing w:after="0" w:line="240" w:lineRule="auto"/>
              <w:contextualSpacing/>
              <w:jc w:val="center"/>
              <w:outlineLvl w:val="0"/>
              <w:rPr>
                <w:rFonts w:eastAsia="Calibri" w:cs="Times New Roman"/>
                <w:b/>
                <w:bCs/>
              </w:rPr>
            </w:pPr>
            <w:r>
              <w:rPr>
                <w:rFonts w:eastAsia="Calibri" w:cs="Times New Roman"/>
                <w:b/>
                <w:bCs/>
              </w:rPr>
              <w:t>Comparison</w:t>
            </w:r>
          </w:p>
          <w:p w14:paraId="1AD4B628" w14:textId="77777777" w:rsidR="00AE1F7D" w:rsidRPr="00F12C84" w:rsidRDefault="00907B19" w:rsidP="00AE1F7D">
            <w:pPr>
              <w:widowControl w:val="0"/>
              <w:spacing w:after="0" w:line="240" w:lineRule="auto"/>
              <w:contextualSpacing/>
              <w:jc w:val="center"/>
              <w:outlineLvl w:val="0"/>
              <w:rPr>
                <w:rFonts w:eastAsia="Calibri" w:cs="Times New Roman"/>
                <w:b/>
                <w:bCs/>
              </w:rPr>
            </w:pPr>
            <w:r>
              <w:rPr>
                <w:rFonts w:eastAsia="Calibri" w:cs="Times New Roman"/>
                <w:b/>
                <w:bCs/>
              </w:rPr>
              <w:t>(Q1:2021/22)</w:t>
            </w:r>
          </w:p>
        </w:tc>
        <w:tc>
          <w:tcPr>
            <w:tcW w:w="1021" w:type="dxa"/>
            <w:tcBorders>
              <w:top w:val="single" w:sz="8" w:space="0" w:color="auto"/>
              <w:bottom w:val="single" w:sz="8" w:space="0" w:color="auto"/>
            </w:tcBorders>
            <w:shd w:val="clear" w:color="auto" w:fill="BFBFBF" w:themeFill="background1" w:themeFillShade="BF"/>
            <w:vAlign w:val="center"/>
          </w:tcPr>
          <w:p w14:paraId="1AD4B629" w14:textId="77777777" w:rsidR="00AE1F7D" w:rsidRPr="00F12C84" w:rsidRDefault="00907B19" w:rsidP="00AE1F7D">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2</w:t>
            </w:r>
          </w:p>
          <w:p w14:paraId="1AD4B62A" w14:textId="77777777" w:rsidR="00AE1F7D" w:rsidRPr="00F12C84" w:rsidRDefault="00907B19" w:rsidP="00AE1F7D">
            <w:pPr>
              <w:widowControl w:val="0"/>
              <w:spacing w:after="0" w:line="240" w:lineRule="auto"/>
              <w:jc w:val="center"/>
              <w:outlineLvl w:val="0"/>
              <w:rPr>
                <w:rFonts w:eastAsia="Calibri" w:cs="Times New Roman"/>
                <w:b/>
                <w:bCs/>
              </w:rPr>
            </w:pPr>
            <w:r w:rsidRPr="00F12C84">
              <w:rPr>
                <w:rFonts w:eastAsia="Calibri" w:cs="Times New Roman"/>
                <w:b/>
                <w:bCs/>
              </w:rPr>
              <w:t>202</w:t>
            </w:r>
            <w:r>
              <w:rPr>
                <w:rFonts w:eastAsia="Calibri" w:cs="Times New Roman"/>
                <w:b/>
                <w:bCs/>
              </w:rPr>
              <w:t>1/22</w:t>
            </w:r>
          </w:p>
        </w:tc>
        <w:tc>
          <w:tcPr>
            <w:tcW w:w="1024" w:type="dxa"/>
            <w:tcBorders>
              <w:top w:val="single" w:sz="8" w:space="0" w:color="auto"/>
              <w:bottom w:val="single" w:sz="8" w:space="0" w:color="auto"/>
              <w:right w:val="single" w:sz="8" w:space="0" w:color="auto"/>
            </w:tcBorders>
            <w:shd w:val="clear" w:color="auto" w:fill="BFBFBF" w:themeFill="background1" w:themeFillShade="BF"/>
            <w:vAlign w:val="center"/>
          </w:tcPr>
          <w:p w14:paraId="1AD4B62B" w14:textId="77777777" w:rsidR="00AE1F7D" w:rsidRPr="00F12C84" w:rsidRDefault="00907B19" w:rsidP="00AE1F7D">
            <w:pPr>
              <w:widowControl w:val="0"/>
              <w:jc w:val="center"/>
              <w:outlineLvl w:val="0"/>
              <w:rPr>
                <w:rFonts w:eastAsia="Calibri" w:cs="Times New Roman"/>
                <w:b/>
                <w:bCs/>
              </w:rPr>
            </w:pPr>
            <w:r w:rsidRPr="00F12C84">
              <w:rPr>
                <w:rFonts w:eastAsia="Calibri" w:cs="Times New Roman"/>
                <w:b/>
                <w:bCs/>
              </w:rPr>
              <w:t>Symbol</w:t>
            </w:r>
          </w:p>
        </w:tc>
        <w:tc>
          <w:tcPr>
            <w:tcW w:w="1191"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AD4B62C" w14:textId="77777777" w:rsidR="00AE1F7D" w:rsidRPr="00F12C84" w:rsidRDefault="00907B19" w:rsidP="00AE1F7D">
            <w:pPr>
              <w:widowControl w:val="0"/>
              <w:jc w:val="center"/>
              <w:outlineLvl w:val="0"/>
              <w:rPr>
                <w:rFonts w:eastAsia="Calibri" w:cs="Times New Roman"/>
                <w:b/>
                <w:bCs/>
              </w:rPr>
            </w:pPr>
            <w:r w:rsidRPr="00F12C84">
              <w:rPr>
                <w:rFonts w:eastAsia="Calibri" w:cs="Times New Roman"/>
                <w:b/>
                <w:bCs/>
              </w:rPr>
              <w:t>Trend</w:t>
            </w:r>
          </w:p>
        </w:tc>
      </w:tr>
      <w:tr w:rsidR="00066063" w14:paraId="1AD4B635" w14:textId="77777777" w:rsidTr="00AE1F7D">
        <w:trPr>
          <w:trHeight w:val="923"/>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14:paraId="1AD4B62E" w14:textId="77777777" w:rsidR="00AE1F7D" w:rsidRPr="00F12C84" w:rsidRDefault="00907B19" w:rsidP="00AE1F7D">
            <w:pPr>
              <w:widowControl w:val="0"/>
              <w:spacing w:line="256" w:lineRule="auto"/>
              <w:contextualSpacing/>
              <w:outlineLvl w:val="0"/>
              <w:rPr>
                <w:rFonts w:eastAsia="Calibri" w:cs="Times New Roman"/>
              </w:rPr>
            </w:pPr>
            <w:bookmarkStart w:id="24" w:name="_Hlk64544498"/>
            <w:r w:rsidRPr="00F12C84">
              <w:rPr>
                <w:rFonts w:eastAsia="Calibri" w:cs="Times New Roman"/>
              </w:rPr>
              <w:t xml:space="preserve">Number of households in temporary accommodation at the end of the quarter  </w:t>
            </w:r>
          </w:p>
        </w:tc>
        <w:tc>
          <w:tcPr>
            <w:tcW w:w="1276" w:type="dxa"/>
            <w:tcBorders>
              <w:top w:val="single" w:sz="8" w:space="0" w:color="auto"/>
              <w:left w:val="single" w:sz="8" w:space="0" w:color="auto"/>
              <w:bottom w:val="single" w:sz="8" w:space="0" w:color="auto"/>
            </w:tcBorders>
            <w:vAlign w:val="center"/>
          </w:tcPr>
          <w:p w14:paraId="1AD4B62F"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95" w:type="dxa"/>
            <w:tcBorders>
              <w:top w:val="single" w:sz="8" w:space="0" w:color="auto"/>
              <w:bottom w:val="single" w:sz="8" w:space="0" w:color="auto"/>
            </w:tcBorders>
            <w:vAlign w:val="center"/>
          </w:tcPr>
          <w:p w14:paraId="1AD4B630"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Target to improve trend</w:t>
            </w:r>
          </w:p>
        </w:tc>
        <w:tc>
          <w:tcPr>
            <w:tcW w:w="1540" w:type="dxa"/>
            <w:tcBorders>
              <w:top w:val="single" w:sz="8" w:space="0" w:color="auto"/>
              <w:bottom w:val="single" w:sz="8" w:space="0" w:color="auto"/>
            </w:tcBorders>
            <w:vAlign w:val="center"/>
          </w:tcPr>
          <w:p w14:paraId="1AD4B631" w14:textId="77777777" w:rsidR="00AE1F7D" w:rsidRPr="004B6F52" w:rsidRDefault="00907B19" w:rsidP="00AE1F7D">
            <w:pPr>
              <w:widowControl w:val="0"/>
              <w:spacing w:line="256" w:lineRule="auto"/>
              <w:contextualSpacing/>
              <w:jc w:val="center"/>
              <w:outlineLvl w:val="0"/>
              <w:rPr>
                <w:rFonts w:eastAsia="Calibri" w:cs="Times New Roman"/>
              </w:rPr>
            </w:pPr>
            <w:r w:rsidRPr="004B6F52">
              <w:rPr>
                <w:rFonts w:eastAsia="Calibri" w:cs="Times New Roman"/>
              </w:rPr>
              <w:t>45</w:t>
            </w:r>
          </w:p>
        </w:tc>
        <w:tc>
          <w:tcPr>
            <w:tcW w:w="1021" w:type="dxa"/>
            <w:tcBorders>
              <w:top w:val="single" w:sz="8" w:space="0" w:color="auto"/>
              <w:bottom w:val="single" w:sz="8" w:space="0" w:color="auto"/>
            </w:tcBorders>
            <w:shd w:val="clear" w:color="auto" w:fill="auto"/>
            <w:vAlign w:val="center"/>
          </w:tcPr>
          <w:p w14:paraId="1AD4B632" w14:textId="77777777" w:rsidR="00AE1F7D" w:rsidRPr="00F12C84" w:rsidRDefault="00907B19" w:rsidP="00AE1F7D">
            <w:pPr>
              <w:widowControl w:val="0"/>
              <w:spacing w:line="256" w:lineRule="auto"/>
              <w:contextualSpacing/>
              <w:jc w:val="center"/>
              <w:outlineLvl w:val="0"/>
              <w:rPr>
                <w:rFonts w:eastAsia="Calibri" w:cs="Times New Roman"/>
                <w:b/>
                <w:bCs/>
              </w:rPr>
            </w:pPr>
            <w:r>
              <w:rPr>
                <w:rFonts w:eastAsia="Calibri" w:cs="Times New Roman"/>
                <w:b/>
                <w:bCs/>
              </w:rPr>
              <w:t>44</w:t>
            </w:r>
          </w:p>
        </w:tc>
        <w:tc>
          <w:tcPr>
            <w:tcW w:w="1024" w:type="dxa"/>
            <w:tcBorders>
              <w:top w:val="single" w:sz="8" w:space="0" w:color="auto"/>
              <w:bottom w:val="single" w:sz="8" w:space="0" w:color="auto"/>
              <w:right w:val="single" w:sz="8" w:space="0" w:color="auto"/>
            </w:tcBorders>
            <w:vAlign w:val="center"/>
          </w:tcPr>
          <w:p w14:paraId="1AD4B633"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191" w:type="dxa"/>
            <w:tcBorders>
              <w:top w:val="single" w:sz="8" w:space="0" w:color="auto"/>
              <w:left w:val="single" w:sz="8" w:space="0" w:color="auto"/>
              <w:bottom w:val="single" w:sz="8" w:space="0" w:color="auto"/>
              <w:right w:val="single" w:sz="8" w:space="0" w:color="auto"/>
            </w:tcBorders>
            <w:vAlign w:val="center"/>
          </w:tcPr>
          <w:p w14:paraId="1AD4B634" w14:textId="77777777" w:rsidR="00AE1F7D" w:rsidRPr="00F12C84" w:rsidRDefault="00907B19" w:rsidP="00AE1F7D">
            <w:pPr>
              <w:widowControl w:val="0"/>
              <w:spacing w:line="256" w:lineRule="auto"/>
              <w:contextualSpacing/>
              <w:jc w:val="center"/>
              <w:outlineLvl w:val="0"/>
              <w:rPr>
                <w:rFonts w:eastAsia="Calibri" w:cs="Times New Roman"/>
              </w:rPr>
            </w:pPr>
            <w:r w:rsidRPr="001B4DEE">
              <w:rPr>
                <w:rFonts w:eastAsia="Calibri" w:cs="Times New Roman"/>
                <w:color w:val="808080" w:themeColor="background1" w:themeShade="80"/>
                <w:sz w:val="20"/>
                <w:szCs w:val="20"/>
              </w:rPr>
              <w:t>Not reported Q2 2020/21</w:t>
            </w:r>
          </w:p>
        </w:tc>
      </w:tr>
      <w:tr w:rsidR="00066063" w14:paraId="1AD4B63D" w14:textId="77777777" w:rsidTr="00AE1F7D">
        <w:trPr>
          <w:trHeight w:val="923"/>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14:paraId="1AD4B636" w14:textId="77777777" w:rsidR="00AE1F7D" w:rsidRPr="00F12C84" w:rsidRDefault="00907B19" w:rsidP="00AE1F7D">
            <w:pPr>
              <w:widowControl w:val="0"/>
              <w:spacing w:line="256" w:lineRule="auto"/>
              <w:contextualSpacing/>
              <w:outlineLvl w:val="0"/>
              <w:rPr>
                <w:rFonts w:eastAsia="Calibri" w:cs="Times New Roman"/>
              </w:rPr>
            </w:pPr>
            <w:r w:rsidRPr="00F12C84">
              <w:rPr>
                <w:rFonts w:eastAsia="Calibri" w:cs="Times New Roman"/>
              </w:rPr>
              <w:t>The average number of working days from Disabled Facilities grant referral received from LCC to application approved</w:t>
            </w:r>
          </w:p>
        </w:tc>
        <w:tc>
          <w:tcPr>
            <w:tcW w:w="1276" w:type="dxa"/>
            <w:tcBorders>
              <w:top w:val="single" w:sz="8" w:space="0" w:color="auto"/>
              <w:left w:val="single" w:sz="8" w:space="0" w:color="auto"/>
              <w:bottom w:val="single" w:sz="8" w:space="0" w:color="auto"/>
            </w:tcBorders>
            <w:vAlign w:val="center"/>
          </w:tcPr>
          <w:p w14:paraId="1AD4B637"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95" w:type="dxa"/>
            <w:tcBorders>
              <w:top w:val="single" w:sz="8" w:space="0" w:color="auto"/>
              <w:bottom w:val="single" w:sz="8" w:space="0" w:color="auto"/>
            </w:tcBorders>
            <w:shd w:val="clear" w:color="auto" w:fill="auto"/>
            <w:vAlign w:val="center"/>
          </w:tcPr>
          <w:p w14:paraId="1AD4B638"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Target to improve trend</w:t>
            </w:r>
          </w:p>
        </w:tc>
        <w:tc>
          <w:tcPr>
            <w:tcW w:w="1540" w:type="dxa"/>
            <w:tcBorders>
              <w:top w:val="single" w:sz="8" w:space="0" w:color="auto"/>
              <w:bottom w:val="single" w:sz="8" w:space="0" w:color="auto"/>
            </w:tcBorders>
            <w:vAlign w:val="center"/>
          </w:tcPr>
          <w:p w14:paraId="1AD4B639" w14:textId="77777777" w:rsidR="00AE1F7D" w:rsidRPr="004B6F52" w:rsidRDefault="00907B19" w:rsidP="00AE1F7D">
            <w:pPr>
              <w:widowControl w:val="0"/>
              <w:spacing w:line="256" w:lineRule="auto"/>
              <w:contextualSpacing/>
              <w:jc w:val="center"/>
              <w:outlineLvl w:val="0"/>
              <w:rPr>
                <w:rFonts w:eastAsia="Calibri" w:cs="Times New Roman"/>
              </w:rPr>
            </w:pPr>
            <w:r w:rsidRPr="004B6F52">
              <w:rPr>
                <w:rFonts w:eastAsia="Calibri" w:cs="Times New Roman"/>
              </w:rPr>
              <w:t>149</w:t>
            </w:r>
          </w:p>
        </w:tc>
        <w:tc>
          <w:tcPr>
            <w:tcW w:w="1021" w:type="dxa"/>
            <w:tcBorders>
              <w:top w:val="single" w:sz="8" w:space="0" w:color="auto"/>
              <w:bottom w:val="single" w:sz="8" w:space="0" w:color="auto"/>
            </w:tcBorders>
            <w:vAlign w:val="center"/>
          </w:tcPr>
          <w:p w14:paraId="1AD4B63A" w14:textId="77777777" w:rsidR="00AE1F7D" w:rsidRPr="00F12C84" w:rsidRDefault="00907B19" w:rsidP="00AE1F7D">
            <w:pPr>
              <w:widowControl w:val="0"/>
              <w:spacing w:line="256" w:lineRule="auto"/>
              <w:contextualSpacing/>
              <w:jc w:val="center"/>
              <w:outlineLvl w:val="0"/>
              <w:rPr>
                <w:rFonts w:eastAsia="Calibri" w:cs="Times New Roman"/>
                <w:b/>
                <w:bCs/>
              </w:rPr>
            </w:pPr>
            <w:r>
              <w:rPr>
                <w:rFonts w:eastAsia="Calibri" w:cs="Times New Roman"/>
                <w:b/>
                <w:bCs/>
              </w:rPr>
              <w:t>127</w:t>
            </w:r>
          </w:p>
        </w:tc>
        <w:tc>
          <w:tcPr>
            <w:tcW w:w="1024" w:type="dxa"/>
            <w:tcBorders>
              <w:top w:val="single" w:sz="8" w:space="0" w:color="auto"/>
              <w:bottom w:val="single" w:sz="8" w:space="0" w:color="auto"/>
              <w:right w:val="single" w:sz="8" w:space="0" w:color="auto"/>
            </w:tcBorders>
            <w:vAlign w:val="center"/>
          </w:tcPr>
          <w:p w14:paraId="1AD4B63B"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191" w:type="dxa"/>
            <w:tcBorders>
              <w:top w:val="single" w:sz="8" w:space="0" w:color="auto"/>
              <w:left w:val="single" w:sz="8" w:space="0" w:color="auto"/>
              <w:bottom w:val="single" w:sz="8" w:space="0" w:color="auto"/>
              <w:right w:val="single" w:sz="8" w:space="0" w:color="auto"/>
            </w:tcBorders>
            <w:vAlign w:val="center"/>
          </w:tcPr>
          <w:p w14:paraId="1AD4B63C" w14:textId="77777777" w:rsidR="00AE1F7D" w:rsidRPr="00F12C84" w:rsidRDefault="00907B19" w:rsidP="00AE1F7D">
            <w:pPr>
              <w:widowControl w:val="0"/>
              <w:spacing w:line="256" w:lineRule="auto"/>
              <w:contextualSpacing/>
              <w:jc w:val="center"/>
              <w:outlineLvl w:val="0"/>
              <w:rPr>
                <w:rFonts w:eastAsia="Calibri" w:cs="Times New Roman"/>
                <w:color w:val="FF0000"/>
              </w:rPr>
            </w:pPr>
            <w:r w:rsidRPr="001B4DEE">
              <w:rPr>
                <w:rFonts w:eastAsia="Calibri" w:cs="Times New Roman"/>
                <w:color w:val="808080" w:themeColor="background1" w:themeShade="80"/>
                <w:sz w:val="20"/>
                <w:szCs w:val="20"/>
              </w:rPr>
              <w:t>Not reported Q2 2020/21</w:t>
            </w:r>
          </w:p>
        </w:tc>
      </w:tr>
      <w:tr w:rsidR="00066063" w14:paraId="1AD4B645" w14:textId="77777777" w:rsidTr="00AE1F7D">
        <w:trPr>
          <w:trHeight w:val="923"/>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14:paraId="1AD4B63E" w14:textId="77777777" w:rsidR="00AE1F7D" w:rsidRPr="00F12C84" w:rsidRDefault="00907B19" w:rsidP="00AE1F7D">
            <w:pPr>
              <w:widowControl w:val="0"/>
              <w:spacing w:line="256" w:lineRule="auto"/>
              <w:contextualSpacing/>
              <w:outlineLvl w:val="0"/>
              <w:rPr>
                <w:rFonts w:eastAsia="Calibri" w:cs="Times New Roman"/>
              </w:rPr>
            </w:pPr>
            <w:r w:rsidRPr="00F12C84">
              <w:rPr>
                <w:rFonts w:eastAsia="Calibri" w:cs="Times New Roman"/>
              </w:rPr>
              <w:t>% planning applications decided within 13 weeks (major applications)</w:t>
            </w:r>
          </w:p>
        </w:tc>
        <w:tc>
          <w:tcPr>
            <w:tcW w:w="1276" w:type="dxa"/>
            <w:tcBorders>
              <w:top w:val="single" w:sz="8" w:space="0" w:color="auto"/>
              <w:left w:val="single" w:sz="8" w:space="0" w:color="auto"/>
              <w:bottom w:val="single" w:sz="8" w:space="0" w:color="auto"/>
            </w:tcBorders>
            <w:vAlign w:val="center"/>
          </w:tcPr>
          <w:p w14:paraId="1AD4B63F"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95" w:type="dxa"/>
            <w:tcBorders>
              <w:top w:val="single" w:sz="8" w:space="0" w:color="auto"/>
              <w:bottom w:val="single" w:sz="8" w:space="0" w:color="auto"/>
            </w:tcBorders>
            <w:shd w:val="clear" w:color="auto" w:fill="auto"/>
            <w:vAlign w:val="center"/>
          </w:tcPr>
          <w:p w14:paraId="1AD4B640" w14:textId="77777777" w:rsidR="00AE1F7D" w:rsidRPr="00F12C84" w:rsidRDefault="00907B19" w:rsidP="00AE1F7D">
            <w:pPr>
              <w:widowControl w:val="0"/>
              <w:spacing w:line="256" w:lineRule="auto"/>
              <w:contextualSpacing/>
              <w:jc w:val="center"/>
              <w:outlineLvl w:val="0"/>
              <w:rPr>
                <w:rFonts w:eastAsia="Calibri" w:cs="Times New Roman"/>
              </w:rPr>
            </w:pPr>
            <w:r>
              <w:rPr>
                <w:rFonts w:eastAsia="Calibri" w:cs="Times New Roman"/>
              </w:rPr>
              <w:t>80</w:t>
            </w:r>
            <w:r w:rsidRPr="00F12C84">
              <w:rPr>
                <w:rFonts w:eastAsia="Calibri" w:cs="Times New Roman"/>
              </w:rPr>
              <w:t>%</w:t>
            </w:r>
          </w:p>
        </w:tc>
        <w:tc>
          <w:tcPr>
            <w:tcW w:w="1540" w:type="dxa"/>
            <w:tcBorders>
              <w:top w:val="single" w:sz="8" w:space="0" w:color="auto"/>
              <w:bottom w:val="single" w:sz="8" w:space="0" w:color="auto"/>
            </w:tcBorders>
            <w:vAlign w:val="center"/>
          </w:tcPr>
          <w:p w14:paraId="1AD4B641" w14:textId="77777777" w:rsidR="00AE1F7D" w:rsidRPr="004B6F52" w:rsidRDefault="00907B19" w:rsidP="00AE1F7D">
            <w:pPr>
              <w:widowControl w:val="0"/>
              <w:spacing w:line="256" w:lineRule="auto"/>
              <w:contextualSpacing/>
              <w:jc w:val="center"/>
              <w:outlineLvl w:val="0"/>
              <w:rPr>
                <w:rFonts w:eastAsia="Calibri" w:cs="Times New Roman"/>
              </w:rPr>
            </w:pPr>
            <w:r w:rsidRPr="004B6F52">
              <w:rPr>
                <w:rFonts w:eastAsia="Calibri" w:cs="Times New Roman"/>
              </w:rPr>
              <w:t>75%</w:t>
            </w:r>
          </w:p>
        </w:tc>
        <w:tc>
          <w:tcPr>
            <w:tcW w:w="1021" w:type="dxa"/>
            <w:tcBorders>
              <w:top w:val="single" w:sz="8" w:space="0" w:color="auto"/>
              <w:bottom w:val="single" w:sz="8" w:space="0" w:color="auto"/>
            </w:tcBorders>
            <w:vAlign w:val="center"/>
          </w:tcPr>
          <w:p w14:paraId="1AD4B642" w14:textId="77777777" w:rsidR="00AE1F7D" w:rsidRPr="00F12C84" w:rsidRDefault="00907B19" w:rsidP="00AE1F7D">
            <w:pPr>
              <w:widowControl w:val="0"/>
              <w:spacing w:line="256" w:lineRule="auto"/>
              <w:contextualSpacing/>
              <w:jc w:val="center"/>
              <w:outlineLvl w:val="0"/>
              <w:rPr>
                <w:rFonts w:eastAsia="Calibri" w:cs="Times New Roman"/>
                <w:b/>
                <w:bCs/>
              </w:rPr>
            </w:pPr>
            <w:r>
              <w:rPr>
                <w:rFonts w:eastAsia="Calibri" w:cs="Times New Roman"/>
                <w:b/>
                <w:bCs/>
              </w:rPr>
              <w:t>100%</w:t>
            </w:r>
          </w:p>
        </w:tc>
        <w:tc>
          <w:tcPr>
            <w:tcW w:w="1024" w:type="dxa"/>
            <w:tcBorders>
              <w:top w:val="single" w:sz="8" w:space="0" w:color="auto"/>
              <w:bottom w:val="single" w:sz="8" w:space="0" w:color="auto"/>
              <w:right w:val="single" w:sz="8" w:space="0" w:color="auto"/>
            </w:tcBorders>
            <w:vAlign w:val="center"/>
          </w:tcPr>
          <w:p w14:paraId="1AD4B643"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191" w:type="dxa"/>
            <w:tcBorders>
              <w:top w:val="single" w:sz="8" w:space="0" w:color="auto"/>
              <w:left w:val="single" w:sz="8" w:space="0" w:color="auto"/>
              <w:bottom w:val="single" w:sz="8" w:space="0" w:color="auto"/>
              <w:right w:val="single" w:sz="8" w:space="0" w:color="auto"/>
            </w:tcBorders>
            <w:vAlign w:val="center"/>
          </w:tcPr>
          <w:p w14:paraId="1AD4B644" w14:textId="77777777" w:rsidR="00AE1F7D" w:rsidRPr="00F12C84" w:rsidRDefault="00907B19" w:rsidP="00AE1F7D">
            <w:pPr>
              <w:widowControl w:val="0"/>
              <w:spacing w:line="256" w:lineRule="auto"/>
              <w:contextualSpacing/>
              <w:jc w:val="center"/>
              <w:outlineLvl w:val="0"/>
              <w:rPr>
                <w:rFonts w:eastAsia="Calibri" w:cs="Times New Roman"/>
                <w:color w:val="FF0000"/>
              </w:rPr>
            </w:pPr>
            <w:r w:rsidRPr="001B4DEE">
              <w:rPr>
                <w:rFonts w:eastAsia="Calibri" w:cs="Times New Roman"/>
                <w:color w:val="808080" w:themeColor="background1" w:themeShade="80"/>
                <w:sz w:val="20"/>
                <w:szCs w:val="20"/>
              </w:rPr>
              <w:t>Not reported Q2 2020/21</w:t>
            </w:r>
          </w:p>
        </w:tc>
      </w:tr>
      <w:tr w:rsidR="00066063" w14:paraId="1AD4B64D" w14:textId="77777777" w:rsidTr="00AE1F7D">
        <w:trPr>
          <w:trHeight w:val="923"/>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14:paraId="1AD4B646" w14:textId="77777777" w:rsidR="00AE1F7D" w:rsidRPr="00F12C84" w:rsidRDefault="00907B19" w:rsidP="00AE1F7D">
            <w:pPr>
              <w:widowControl w:val="0"/>
              <w:spacing w:line="256" w:lineRule="auto"/>
              <w:contextualSpacing/>
              <w:outlineLvl w:val="0"/>
              <w:rPr>
                <w:rFonts w:eastAsia="Calibri" w:cs="Times New Roman"/>
              </w:rPr>
            </w:pPr>
            <w:r w:rsidRPr="00F12C84">
              <w:rPr>
                <w:rFonts w:eastAsia="Calibri" w:cs="Times New Roman"/>
              </w:rPr>
              <w:t>% planning applications decided within 8 weeks (minor / other applications)</w:t>
            </w:r>
          </w:p>
        </w:tc>
        <w:tc>
          <w:tcPr>
            <w:tcW w:w="1276" w:type="dxa"/>
            <w:tcBorders>
              <w:top w:val="single" w:sz="8" w:space="0" w:color="auto"/>
              <w:left w:val="single" w:sz="8" w:space="0" w:color="auto"/>
              <w:bottom w:val="single" w:sz="8" w:space="0" w:color="auto"/>
            </w:tcBorders>
            <w:vAlign w:val="center"/>
          </w:tcPr>
          <w:p w14:paraId="1AD4B647"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95" w:type="dxa"/>
            <w:tcBorders>
              <w:top w:val="single" w:sz="8" w:space="0" w:color="auto"/>
              <w:bottom w:val="single" w:sz="8" w:space="0" w:color="auto"/>
            </w:tcBorders>
            <w:shd w:val="clear" w:color="auto" w:fill="auto"/>
            <w:vAlign w:val="center"/>
          </w:tcPr>
          <w:p w14:paraId="1AD4B648"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85%</w:t>
            </w:r>
          </w:p>
        </w:tc>
        <w:tc>
          <w:tcPr>
            <w:tcW w:w="1540" w:type="dxa"/>
            <w:tcBorders>
              <w:top w:val="single" w:sz="8" w:space="0" w:color="auto"/>
              <w:bottom w:val="single" w:sz="8" w:space="0" w:color="auto"/>
            </w:tcBorders>
            <w:vAlign w:val="center"/>
          </w:tcPr>
          <w:p w14:paraId="1AD4B649" w14:textId="77777777" w:rsidR="00AE1F7D" w:rsidRPr="004B6F52" w:rsidRDefault="00907B19" w:rsidP="00AE1F7D">
            <w:pPr>
              <w:widowControl w:val="0"/>
              <w:spacing w:line="256" w:lineRule="auto"/>
              <w:contextualSpacing/>
              <w:jc w:val="center"/>
              <w:outlineLvl w:val="0"/>
              <w:rPr>
                <w:rFonts w:eastAsia="Calibri" w:cs="Times New Roman"/>
              </w:rPr>
            </w:pPr>
            <w:r w:rsidRPr="004B6F52">
              <w:rPr>
                <w:rFonts w:eastAsia="Calibri" w:cs="Times New Roman"/>
              </w:rPr>
              <w:t>85.7%</w:t>
            </w:r>
          </w:p>
        </w:tc>
        <w:tc>
          <w:tcPr>
            <w:tcW w:w="1021" w:type="dxa"/>
            <w:tcBorders>
              <w:top w:val="single" w:sz="8" w:space="0" w:color="auto"/>
              <w:bottom w:val="single" w:sz="8" w:space="0" w:color="auto"/>
            </w:tcBorders>
            <w:vAlign w:val="center"/>
          </w:tcPr>
          <w:p w14:paraId="1AD4B64A" w14:textId="77777777" w:rsidR="00AE1F7D" w:rsidRPr="00F12C84" w:rsidRDefault="00907B19" w:rsidP="00AE1F7D">
            <w:pPr>
              <w:widowControl w:val="0"/>
              <w:spacing w:line="256" w:lineRule="auto"/>
              <w:contextualSpacing/>
              <w:jc w:val="center"/>
              <w:outlineLvl w:val="0"/>
              <w:rPr>
                <w:rFonts w:eastAsia="Calibri" w:cs="Times New Roman"/>
                <w:b/>
                <w:bCs/>
              </w:rPr>
            </w:pPr>
            <w:r>
              <w:rPr>
                <w:rFonts w:eastAsia="Calibri" w:cs="Times New Roman"/>
                <w:b/>
                <w:bCs/>
              </w:rPr>
              <w:t>84.1%</w:t>
            </w:r>
          </w:p>
        </w:tc>
        <w:tc>
          <w:tcPr>
            <w:tcW w:w="1024" w:type="dxa"/>
            <w:tcBorders>
              <w:top w:val="single" w:sz="8" w:space="0" w:color="auto"/>
              <w:bottom w:val="single" w:sz="8" w:space="0" w:color="auto"/>
              <w:right w:val="single" w:sz="8" w:space="0" w:color="auto"/>
            </w:tcBorders>
            <w:vAlign w:val="center"/>
          </w:tcPr>
          <w:p w14:paraId="1AD4B64B"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ascii="Wingdings" w:eastAsia="Arial" w:hAnsi="Wingdings" w:cs="Times New Roman"/>
                <w:color w:val="5B9BD5"/>
                <w:sz w:val="44"/>
              </w:rPr>
              <w:sym w:font="Wingdings" w:char="F06C"/>
            </w:r>
          </w:p>
        </w:tc>
        <w:tc>
          <w:tcPr>
            <w:tcW w:w="1191" w:type="dxa"/>
            <w:tcBorders>
              <w:top w:val="single" w:sz="8" w:space="0" w:color="auto"/>
              <w:left w:val="single" w:sz="8" w:space="0" w:color="auto"/>
              <w:bottom w:val="single" w:sz="8" w:space="0" w:color="auto"/>
              <w:right w:val="single" w:sz="8" w:space="0" w:color="auto"/>
            </w:tcBorders>
            <w:vAlign w:val="center"/>
          </w:tcPr>
          <w:p w14:paraId="1AD4B64C" w14:textId="77777777" w:rsidR="00AE1F7D" w:rsidRPr="00F12C84" w:rsidRDefault="00907B19" w:rsidP="00AE1F7D">
            <w:pPr>
              <w:widowControl w:val="0"/>
              <w:spacing w:line="256" w:lineRule="auto"/>
              <w:contextualSpacing/>
              <w:jc w:val="center"/>
              <w:outlineLvl w:val="0"/>
              <w:rPr>
                <w:rFonts w:eastAsia="Calibri" w:cs="Times New Roman"/>
                <w:color w:val="FF0000"/>
              </w:rPr>
            </w:pPr>
            <w:r w:rsidRPr="001B4DEE">
              <w:rPr>
                <w:rFonts w:eastAsia="Calibri" w:cs="Times New Roman"/>
                <w:color w:val="808080" w:themeColor="background1" w:themeShade="80"/>
                <w:sz w:val="20"/>
                <w:szCs w:val="20"/>
              </w:rPr>
              <w:t>Not reported Q2 2020/21</w:t>
            </w:r>
          </w:p>
        </w:tc>
      </w:tr>
      <w:tr w:rsidR="00066063" w14:paraId="1AD4B655" w14:textId="77777777" w:rsidTr="00AE1F7D">
        <w:trPr>
          <w:trHeight w:val="555"/>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14:paraId="1AD4B64E" w14:textId="77777777" w:rsidR="00AE1F7D" w:rsidRPr="00F12C84" w:rsidRDefault="00907B19" w:rsidP="00AE1F7D">
            <w:pPr>
              <w:widowControl w:val="0"/>
              <w:spacing w:line="256" w:lineRule="auto"/>
              <w:contextualSpacing/>
              <w:outlineLvl w:val="0"/>
              <w:rPr>
                <w:rFonts w:eastAsia="Calibri" w:cs="Times New Roman"/>
              </w:rPr>
            </w:pPr>
            <w:r w:rsidRPr="00F12C84">
              <w:rPr>
                <w:rFonts w:eastAsia="Calibri" w:cs="Times New Roman"/>
              </w:rPr>
              <w:t>% of telephone calls answered within 90 seconds</w:t>
            </w:r>
          </w:p>
        </w:tc>
        <w:tc>
          <w:tcPr>
            <w:tcW w:w="1276" w:type="dxa"/>
            <w:tcBorders>
              <w:top w:val="single" w:sz="8" w:space="0" w:color="auto"/>
              <w:left w:val="single" w:sz="8" w:space="0" w:color="auto"/>
              <w:bottom w:val="single" w:sz="8" w:space="0" w:color="auto"/>
            </w:tcBorders>
            <w:vAlign w:val="center"/>
          </w:tcPr>
          <w:p w14:paraId="1AD4B64F"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95" w:type="dxa"/>
            <w:tcBorders>
              <w:top w:val="single" w:sz="8" w:space="0" w:color="auto"/>
              <w:bottom w:val="single" w:sz="8" w:space="0" w:color="auto"/>
            </w:tcBorders>
            <w:shd w:val="clear" w:color="auto" w:fill="auto"/>
            <w:vAlign w:val="center"/>
          </w:tcPr>
          <w:p w14:paraId="1AD4B650"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40%</w:t>
            </w:r>
          </w:p>
        </w:tc>
        <w:tc>
          <w:tcPr>
            <w:tcW w:w="1540" w:type="dxa"/>
            <w:tcBorders>
              <w:top w:val="single" w:sz="8" w:space="0" w:color="auto"/>
              <w:bottom w:val="single" w:sz="8" w:space="0" w:color="auto"/>
            </w:tcBorders>
            <w:vAlign w:val="center"/>
          </w:tcPr>
          <w:p w14:paraId="1AD4B651" w14:textId="77777777" w:rsidR="00AE1F7D" w:rsidRPr="004B6F52" w:rsidRDefault="00907B19" w:rsidP="00AE1F7D">
            <w:pPr>
              <w:widowControl w:val="0"/>
              <w:spacing w:line="256" w:lineRule="auto"/>
              <w:contextualSpacing/>
              <w:jc w:val="center"/>
              <w:outlineLvl w:val="0"/>
              <w:rPr>
                <w:rFonts w:eastAsia="Calibri" w:cs="Times New Roman"/>
              </w:rPr>
            </w:pPr>
            <w:r w:rsidRPr="004B6F52">
              <w:rPr>
                <w:rFonts w:eastAsia="Calibri" w:cs="Times New Roman"/>
              </w:rPr>
              <w:t>71.4%</w:t>
            </w:r>
          </w:p>
        </w:tc>
        <w:tc>
          <w:tcPr>
            <w:tcW w:w="1021" w:type="dxa"/>
            <w:tcBorders>
              <w:top w:val="single" w:sz="8" w:space="0" w:color="auto"/>
              <w:bottom w:val="single" w:sz="8" w:space="0" w:color="auto"/>
            </w:tcBorders>
            <w:shd w:val="clear" w:color="auto" w:fill="auto"/>
            <w:vAlign w:val="center"/>
          </w:tcPr>
          <w:p w14:paraId="1AD4B652" w14:textId="77777777" w:rsidR="00AE1F7D" w:rsidRPr="00F12C84" w:rsidRDefault="00907B19" w:rsidP="00AE1F7D">
            <w:pPr>
              <w:widowControl w:val="0"/>
              <w:spacing w:line="256" w:lineRule="auto"/>
              <w:contextualSpacing/>
              <w:jc w:val="center"/>
              <w:outlineLvl w:val="0"/>
              <w:rPr>
                <w:rFonts w:eastAsia="Calibri" w:cs="Times New Roman"/>
                <w:b/>
                <w:bCs/>
              </w:rPr>
            </w:pPr>
            <w:r>
              <w:rPr>
                <w:rFonts w:eastAsia="Calibri" w:cs="Times New Roman"/>
                <w:b/>
                <w:bCs/>
              </w:rPr>
              <w:t>62.4%</w:t>
            </w:r>
          </w:p>
        </w:tc>
        <w:tc>
          <w:tcPr>
            <w:tcW w:w="1024" w:type="dxa"/>
            <w:tcBorders>
              <w:top w:val="single" w:sz="8" w:space="0" w:color="auto"/>
              <w:bottom w:val="single" w:sz="8" w:space="0" w:color="auto"/>
              <w:right w:val="single" w:sz="8" w:space="0" w:color="auto"/>
            </w:tcBorders>
            <w:vAlign w:val="center"/>
          </w:tcPr>
          <w:p w14:paraId="1AD4B653"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191" w:type="dxa"/>
            <w:tcBorders>
              <w:top w:val="single" w:sz="8" w:space="0" w:color="auto"/>
              <w:left w:val="single" w:sz="8" w:space="0" w:color="auto"/>
              <w:bottom w:val="single" w:sz="8" w:space="0" w:color="auto"/>
              <w:right w:val="single" w:sz="8" w:space="0" w:color="auto"/>
            </w:tcBorders>
            <w:vAlign w:val="center"/>
          </w:tcPr>
          <w:p w14:paraId="1AD4B654" w14:textId="77777777" w:rsidR="00AE1F7D" w:rsidRPr="00F12C84" w:rsidRDefault="00907B19" w:rsidP="00AE1F7D">
            <w:pPr>
              <w:widowControl w:val="0"/>
              <w:spacing w:line="256" w:lineRule="auto"/>
              <w:contextualSpacing/>
              <w:jc w:val="center"/>
              <w:outlineLvl w:val="0"/>
              <w:rPr>
                <w:rFonts w:eastAsia="Calibri" w:cs="Times New Roman"/>
                <w:color w:val="00B050"/>
              </w:rPr>
            </w:pPr>
            <w:r w:rsidRPr="001B4DEE">
              <w:rPr>
                <w:rFonts w:eastAsia="Calibri" w:cs="Times New Roman"/>
                <w:color w:val="808080" w:themeColor="background1" w:themeShade="80"/>
                <w:sz w:val="20"/>
                <w:szCs w:val="20"/>
              </w:rPr>
              <w:t>Not reported Q2 2020/21</w:t>
            </w:r>
          </w:p>
        </w:tc>
      </w:tr>
      <w:tr w:rsidR="00066063" w14:paraId="1AD4B65D" w14:textId="77777777" w:rsidTr="00AE1F7D">
        <w:trPr>
          <w:trHeight w:val="894"/>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14:paraId="1AD4B656" w14:textId="77777777" w:rsidR="00AE1F7D" w:rsidRPr="00F12C84" w:rsidRDefault="00907B19" w:rsidP="00AE1F7D">
            <w:pPr>
              <w:widowControl w:val="0"/>
              <w:spacing w:line="256" w:lineRule="auto"/>
              <w:contextualSpacing/>
              <w:outlineLvl w:val="0"/>
              <w:rPr>
                <w:rFonts w:eastAsia="Calibri" w:cs="Times New Roman"/>
              </w:rPr>
            </w:pPr>
            <w:r w:rsidRPr="00F12C84">
              <w:rPr>
                <w:rFonts w:eastAsia="Calibri" w:cs="Times New Roman"/>
              </w:rPr>
              <w:t>% of calls abandoned before being answered in a quarter</w:t>
            </w:r>
          </w:p>
        </w:tc>
        <w:tc>
          <w:tcPr>
            <w:tcW w:w="1276" w:type="dxa"/>
            <w:tcBorders>
              <w:top w:val="single" w:sz="8" w:space="0" w:color="auto"/>
              <w:left w:val="single" w:sz="8" w:space="0" w:color="auto"/>
              <w:bottom w:val="single" w:sz="8" w:space="0" w:color="auto"/>
            </w:tcBorders>
            <w:vAlign w:val="center"/>
          </w:tcPr>
          <w:p w14:paraId="1AD4B657"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95" w:type="dxa"/>
            <w:tcBorders>
              <w:top w:val="single" w:sz="8" w:space="0" w:color="auto"/>
              <w:bottom w:val="single" w:sz="8" w:space="0" w:color="auto"/>
            </w:tcBorders>
            <w:shd w:val="clear" w:color="auto" w:fill="auto"/>
            <w:vAlign w:val="center"/>
          </w:tcPr>
          <w:p w14:paraId="1AD4B658"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15%</w:t>
            </w:r>
          </w:p>
        </w:tc>
        <w:tc>
          <w:tcPr>
            <w:tcW w:w="1540" w:type="dxa"/>
            <w:tcBorders>
              <w:top w:val="single" w:sz="8" w:space="0" w:color="auto"/>
              <w:bottom w:val="single" w:sz="8" w:space="0" w:color="auto"/>
            </w:tcBorders>
            <w:vAlign w:val="center"/>
          </w:tcPr>
          <w:p w14:paraId="1AD4B659" w14:textId="77777777" w:rsidR="00AE1F7D" w:rsidRPr="004B6F52" w:rsidRDefault="00907B19" w:rsidP="00AE1F7D">
            <w:pPr>
              <w:widowControl w:val="0"/>
              <w:spacing w:line="256" w:lineRule="auto"/>
              <w:contextualSpacing/>
              <w:jc w:val="center"/>
              <w:outlineLvl w:val="0"/>
              <w:rPr>
                <w:rFonts w:eastAsia="Calibri" w:cs="Times New Roman"/>
              </w:rPr>
            </w:pPr>
            <w:r w:rsidRPr="004B6F52">
              <w:rPr>
                <w:rFonts w:eastAsia="Calibri" w:cs="Times New Roman"/>
              </w:rPr>
              <w:t>9.3%</w:t>
            </w:r>
          </w:p>
        </w:tc>
        <w:tc>
          <w:tcPr>
            <w:tcW w:w="1021" w:type="dxa"/>
            <w:tcBorders>
              <w:top w:val="single" w:sz="8" w:space="0" w:color="auto"/>
              <w:bottom w:val="single" w:sz="8" w:space="0" w:color="auto"/>
            </w:tcBorders>
            <w:shd w:val="clear" w:color="auto" w:fill="auto"/>
            <w:vAlign w:val="center"/>
          </w:tcPr>
          <w:p w14:paraId="1AD4B65A" w14:textId="77777777" w:rsidR="00AE1F7D" w:rsidRPr="00F12C84" w:rsidRDefault="00907B19" w:rsidP="00AE1F7D">
            <w:pPr>
              <w:widowControl w:val="0"/>
              <w:spacing w:line="256" w:lineRule="auto"/>
              <w:contextualSpacing/>
              <w:jc w:val="center"/>
              <w:outlineLvl w:val="0"/>
              <w:rPr>
                <w:rFonts w:eastAsia="Calibri" w:cs="Times New Roman"/>
                <w:b/>
                <w:bCs/>
              </w:rPr>
            </w:pPr>
            <w:r>
              <w:rPr>
                <w:rFonts w:eastAsia="Calibri" w:cs="Times New Roman"/>
                <w:b/>
                <w:bCs/>
              </w:rPr>
              <w:t>9.9%</w:t>
            </w:r>
          </w:p>
        </w:tc>
        <w:tc>
          <w:tcPr>
            <w:tcW w:w="1024" w:type="dxa"/>
            <w:tcBorders>
              <w:top w:val="single" w:sz="8" w:space="0" w:color="auto"/>
              <w:bottom w:val="single" w:sz="8" w:space="0" w:color="auto"/>
              <w:right w:val="single" w:sz="8" w:space="0" w:color="auto"/>
            </w:tcBorders>
            <w:vAlign w:val="center"/>
          </w:tcPr>
          <w:p w14:paraId="1AD4B65B"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191" w:type="dxa"/>
            <w:tcBorders>
              <w:top w:val="single" w:sz="8" w:space="0" w:color="auto"/>
              <w:left w:val="single" w:sz="8" w:space="0" w:color="auto"/>
              <w:bottom w:val="single" w:sz="8" w:space="0" w:color="auto"/>
              <w:right w:val="single" w:sz="8" w:space="0" w:color="auto"/>
            </w:tcBorders>
            <w:vAlign w:val="center"/>
          </w:tcPr>
          <w:p w14:paraId="1AD4B65C" w14:textId="77777777" w:rsidR="00AE1F7D" w:rsidRPr="00F12C84" w:rsidRDefault="00907B19" w:rsidP="00AE1F7D">
            <w:pPr>
              <w:widowControl w:val="0"/>
              <w:spacing w:line="256" w:lineRule="auto"/>
              <w:contextualSpacing/>
              <w:jc w:val="center"/>
              <w:outlineLvl w:val="0"/>
              <w:rPr>
                <w:rFonts w:eastAsia="Calibri" w:cs="Times New Roman"/>
                <w:color w:val="00B050"/>
              </w:rPr>
            </w:pPr>
            <w:r w:rsidRPr="001B4DEE">
              <w:rPr>
                <w:rFonts w:eastAsia="Calibri" w:cs="Times New Roman"/>
                <w:color w:val="808080" w:themeColor="background1" w:themeShade="80"/>
                <w:sz w:val="20"/>
                <w:szCs w:val="20"/>
              </w:rPr>
              <w:t>Not reported Q2 2020/21</w:t>
            </w:r>
          </w:p>
        </w:tc>
      </w:tr>
      <w:tr w:rsidR="00066063" w14:paraId="1AD4B667" w14:textId="77777777" w:rsidTr="00AE1F7D">
        <w:trPr>
          <w:trHeight w:val="712"/>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14:paraId="1AD4B65E" w14:textId="77777777" w:rsidR="00AE1F7D" w:rsidRPr="00F12C84" w:rsidRDefault="00907B19" w:rsidP="00AE1F7D">
            <w:pPr>
              <w:widowControl w:val="0"/>
              <w:spacing w:line="256" w:lineRule="auto"/>
              <w:contextualSpacing/>
              <w:outlineLvl w:val="0"/>
              <w:rPr>
                <w:rFonts w:eastAsia="Calibri" w:cs="Times New Roman"/>
              </w:rPr>
            </w:pPr>
            <w:r w:rsidRPr="00F12C84">
              <w:rPr>
                <w:rFonts w:eastAsia="Calibri" w:cs="Times New Roman"/>
              </w:rPr>
              <w:t>Average days to process a new Housing Benefit claim</w:t>
            </w:r>
          </w:p>
        </w:tc>
        <w:tc>
          <w:tcPr>
            <w:tcW w:w="1276" w:type="dxa"/>
            <w:tcBorders>
              <w:top w:val="single" w:sz="8" w:space="0" w:color="auto"/>
              <w:left w:val="single" w:sz="8" w:space="0" w:color="auto"/>
              <w:bottom w:val="single" w:sz="8" w:space="0" w:color="auto"/>
            </w:tcBorders>
            <w:vAlign w:val="center"/>
          </w:tcPr>
          <w:p w14:paraId="1AD4B65F"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95" w:type="dxa"/>
            <w:tcBorders>
              <w:top w:val="single" w:sz="8" w:space="0" w:color="auto"/>
              <w:bottom w:val="single" w:sz="8" w:space="0" w:color="auto"/>
            </w:tcBorders>
            <w:shd w:val="clear" w:color="auto" w:fill="auto"/>
            <w:vAlign w:val="center"/>
          </w:tcPr>
          <w:p w14:paraId="1AD4B660"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1</w:t>
            </w:r>
            <w:r>
              <w:rPr>
                <w:rFonts w:eastAsia="Calibri" w:cs="Times New Roman"/>
              </w:rPr>
              <w:t>6</w:t>
            </w:r>
            <w:r w:rsidRPr="00F12C84">
              <w:rPr>
                <w:rFonts w:eastAsia="Calibri" w:cs="Times New Roman"/>
              </w:rPr>
              <w:t xml:space="preserve"> days</w:t>
            </w:r>
          </w:p>
        </w:tc>
        <w:tc>
          <w:tcPr>
            <w:tcW w:w="1540" w:type="dxa"/>
            <w:tcBorders>
              <w:top w:val="single" w:sz="8" w:space="0" w:color="auto"/>
              <w:bottom w:val="single" w:sz="8" w:space="0" w:color="auto"/>
            </w:tcBorders>
            <w:vAlign w:val="center"/>
          </w:tcPr>
          <w:p w14:paraId="1AD4B661" w14:textId="77777777" w:rsidR="00AE1F7D" w:rsidRPr="004B6F52" w:rsidRDefault="00907B19" w:rsidP="00AE1F7D">
            <w:pPr>
              <w:widowControl w:val="0"/>
              <w:spacing w:line="256" w:lineRule="auto"/>
              <w:contextualSpacing/>
              <w:jc w:val="center"/>
              <w:outlineLvl w:val="0"/>
              <w:rPr>
                <w:rFonts w:eastAsia="Calibri" w:cs="Times New Roman"/>
              </w:rPr>
            </w:pPr>
            <w:r w:rsidRPr="004B6F52">
              <w:rPr>
                <w:rFonts w:eastAsia="Calibri" w:cs="Times New Roman"/>
              </w:rPr>
              <w:t xml:space="preserve">15.46 </w:t>
            </w:r>
          </w:p>
          <w:p w14:paraId="1AD4B662" w14:textId="77777777" w:rsidR="00AE1F7D" w:rsidRPr="004B6F52" w:rsidRDefault="00907B19" w:rsidP="00AE1F7D">
            <w:pPr>
              <w:widowControl w:val="0"/>
              <w:spacing w:line="256" w:lineRule="auto"/>
              <w:contextualSpacing/>
              <w:jc w:val="center"/>
              <w:outlineLvl w:val="0"/>
              <w:rPr>
                <w:rFonts w:eastAsia="Calibri" w:cs="Times New Roman"/>
              </w:rPr>
            </w:pPr>
            <w:r w:rsidRPr="004B6F52">
              <w:rPr>
                <w:rFonts w:eastAsia="Calibri" w:cs="Times New Roman"/>
              </w:rPr>
              <w:t>days</w:t>
            </w:r>
          </w:p>
        </w:tc>
        <w:tc>
          <w:tcPr>
            <w:tcW w:w="1021" w:type="dxa"/>
            <w:tcBorders>
              <w:top w:val="single" w:sz="8" w:space="0" w:color="auto"/>
              <w:bottom w:val="single" w:sz="8" w:space="0" w:color="auto"/>
            </w:tcBorders>
            <w:shd w:val="clear" w:color="auto" w:fill="auto"/>
            <w:vAlign w:val="center"/>
          </w:tcPr>
          <w:p w14:paraId="1AD4B663" w14:textId="77777777" w:rsidR="00AE1F7D" w:rsidRPr="00FC7395" w:rsidRDefault="00907B19" w:rsidP="00AE1F7D">
            <w:pPr>
              <w:widowControl w:val="0"/>
              <w:spacing w:line="256" w:lineRule="auto"/>
              <w:contextualSpacing/>
              <w:jc w:val="center"/>
              <w:outlineLvl w:val="0"/>
              <w:rPr>
                <w:rFonts w:eastAsia="Calibri" w:cs="Times New Roman"/>
                <w:b/>
                <w:bCs/>
              </w:rPr>
            </w:pPr>
            <w:r w:rsidRPr="00FC7395">
              <w:rPr>
                <w:rFonts w:eastAsia="Calibri" w:cs="Times New Roman"/>
                <w:b/>
                <w:bCs/>
              </w:rPr>
              <w:t>21.24</w:t>
            </w:r>
          </w:p>
          <w:p w14:paraId="1AD4B664" w14:textId="77777777" w:rsidR="00AE1F7D" w:rsidRPr="00FC7395" w:rsidRDefault="00907B19" w:rsidP="00AE1F7D">
            <w:pPr>
              <w:widowControl w:val="0"/>
              <w:spacing w:line="256" w:lineRule="auto"/>
              <w:contextualSpacing/>
              <w:jc w:val="center"/>
              <w:outlineLvl w:val="0"/>
              <w:rPr>
                <w:rFonts w:eastAsia="Calibri" w:cs="Times New Roman"/>
                <w:b/>
                <w:bCs/>
              </w:rPr>
            </w:pPr>
            <w:r w:rsidRPr="00FC7395">
              <w:rPr>
                <w:rFonts w:eastAsia="Calibri" w:cs="Times New Roman"/>
                <w:b/>
                <w:bCs/>
              </w:rPr>
              <w:t>days</w:t>
            </w:r>
          </w:p>
        </w:tc>
        <w:tc>
          <w:tcPr>
            <w:tcW w:w="1024" w:type="dxa"/>
            <w:tcBorders>
              <w:top w:val="single" w:sz="8" w:space="0" w:color="auto"/>
              <w:bottom w:val="single" w:sz="8" w:space="0" w:color="auto"/>
              <w:right w:val="single" w:sz="8" w:space="0" w:color="auto"/>
            </w:tcBorders>
            <w:vAlign w:val="center"/>
          </w:tcPr>
          <w:p w14:paraId="1AD4B665" w14:textId="77777777" w:rsidR="00AE1F7D" w:rsidRPr="00DF3490" w:rsidRDefault="00907B19" w:rsidP="00AE1F7D">
            <w:pPr>
              <w:widowControl w:val="0"/>
              <w:spacing w:line="256" w:lineRule="auto"/>
              <w:contextualSpacing/>
              <w:jc w:val="center"/>
              <w:outlineLvl w:val="0"/>
              <w:rPr>
                <w:rFonts w:eastAsia="Calibri" w:cs="Times New Roman"/>
                <w:highlight w:val="yellow"/>
              </w:rPr>
            </w:pPr>
            <w:r w:rsidRPr="00F12C84">
              <w:rPr>
                <w:rFonts w:ascii="Wingdings 3" w:eastAsia="Arial" w:hAnsi="Wingdings 3" w:cs="Times New Roman"/>
                <w:color w:val="FF0000"/>
                <w:sz w:val="32"/>
              </w:rPr>
              <w:sym w:font="Wingdings 3" w:char="F070"/>
            </w:r>
          </w:p>
        </w:tc>
        <w:tc>
          <w:tcPr>
            <w:tcW w:w="1191" w:type="dxa"/>
            <w:tcBorders>
              <w:top w:val="single" w:sz="8" w:space="0" w:color="auto"/>
              <w:left w:val="single" w:sz="8" w:space="0" w:color="auto"/>
              <w:bottom w:val="single" w:sz="8" w:space="0" w:color="auto"/>
              <w:right w:val="single" w:sz="8" w:space="0" w:color="auto"/>
            </w:tcBorders>
            <w:vAlign w:val="center"/>
          </w:tcPr>
          <w:p w14:paraId="1AD4B666" w14:textId="77777777" w:rsidR="00AE1F7D" w:rsidRPr="00F12C84" w:rsidRDefault="00907B19" w:rsidP="00AE1F7D">
            <w:pPr>
              <w:widowControl w:val="0"/>
              <w:spacing w:line="256" w:lineRule="auto"/>
              <w:contextualSpacing/>
              <w:jc w:val="center"/>
              <w:outlineLvl w:val="0"/>
              <w:rPr>
                <w:rFonts w:eastAsia="Calibri" w:cs="Times New Roman"/>
                <w:color w:val="00B050"/>
              </w:rPr>
            </w:pPr>
            <w:r w:rsidRPr="001B4DEE">
              <w:rPr>
                <w:rFonts w:eastAsia="Calibri" w:cs="Times New Roman"/>
                <w:color w:val="808080" w:themeColor="background1" w:themeShade="80"/>
                <w:sz w:val="20"/>
                <w:szCs w:val="20"/>
              </w:rPr>
              <w:t>Not reported Q2 2020/21</w:t>
            </w:r>
          </w:p>
        </w:tc>
      </w:tr>
      <w:tr w:rsidR="00066063" w14:paraId="1AD4B66F" w14:textId="77777777" w:rsidTr="00AE1F7D">
        <w:trPr>
          <w:trHeight w:val="923"/>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14:paraId="1AD4B668" w14:textId="77777777" w:rsidR="00AE1F7D" w:rsidRPr="00F12C84" w:rsidRDefault="00907B19" w:rsidP="00AE1F7D">
            <w:pPr>
              <w:widowControl w:val="0"/>
              <w:spacing w:line="256" w:lineRule="auto"/>
              <w:contextualSpacing/>
              <w:outlineLvl w:val="0"/>
              <w:rPr>
                <w:rFonts w:eastAsia="Calibri" w:cs="Times New Roman"/>
              </w:rPr>
            </w:pPr>
            <w:r w:rsidRPr="00F12C84">
              <w:rPr>
                <w:rFonts w:eastAsia="Calibri" w:cs="Times New Roman"/>
              </w:rPr>
              <w:t>Percentage of Council Tax collected (Cumulative YTD)</w:t>
            </w:r>
          </w:p>
        </w:tc>
        <w:tc>
          <w:tcPr>
            <w:tcW w:w="1276" w:type="dxa"/>
            <w:tcBorders>
              <w:top w:val="single" w:sz="8" w:space="0" w:color="auto"/>
              <w:left w:val="single" w:sz="8" w:space="0" w:color="auto"/>
              <w:bottom w:val="single" w:sz="8" w:space="0" w:color="auto"/>
            </w:tcBorders>
            <w:vAlign w:val="center"/>
          </w:tcPr>
          <w:p w14:paraId="1AD4B669"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95" w:type="dxa"/>
            <w:tcBorders>
              <w:top w:val="single" w:sz="8" w:space="0" w:color="auto"/>
              <w:bottom w:val="single" w:sz="8" w:space="0" w:color="auto"/>
            </w:tcBorders>
            <w:shd w:val="clear" w:color="auto" w:fill="auto"/>
            <w:vAlign w:val="center"/>
          </w:tcPr>
          <w:p w14:paraId="1AD4B66A" w14:textId="77777777" w:rsidR="00AE1F7D" w:rsidRPr="001B4DEE" w:rsidRDefault="00907B19" w:rsidP="00AE1F7D">
            <w:pPr>
              <w:widowControl w:val="0"/>
              <w:spacing w:line="256" w:lineRule="auto"/>
              <w:contextualSpacing/>
              <w:jc w:val="center"/>
              <w:outlineLvl w:val="0"/>
              <w:rPr>
                <w:rFonts w:eastAsia="Calibri" w:cs="Times New Roman"/>
              </w:rPr>
            </w:pPr>
            <w:r w:rsidRPr="001B4DEE">
              <w:rPr>
                <w:rFonts w:eastAsia="Calibri" w:cs="Times New Roman"/>
              </w:rPr>
              <w:t>56.48%</w:t>
            </w:r>
          </w:p>
        </w:tc>
        <w:tc>
          <w:tcPr>
            <w:tcW w:w="1540" w:type="dxa"/>
            <w:tcBorders>
              <w:top w:val="single" w:sz="8" w:space="0" w:color="auto"/>
              <w:bottom w:val="single" w:sz="8" w:space="0" w:color="auto"/>
            </w:tcBorders>
            <w:vAlign w:val="center"/>
          </w:tcPr>
          <w:p w14:paraId="1AD4B66B" w14:textId="77777777" w:rsidR="00AE1F7D" w:rsidRPr="004B6F52" w:rsidRDefault="00907B19" w:rsidP="00AE1F7D">
            <w:pPr>
              <w:widowControl w:val="0"/>
              <w:spacing w:line="256" w:lineRule="auto"/>
              <w:contextualSpacing/>
              <w:jc w:val="center"/>
              <w:outlineLvl w:val="0"/>
              <w:rPr>
                <w:rFonts w:eastAsia="Calibri" w:cs="Times New Roman"/>
              </w:rPr>
            </w:pPr>
            <w:r w:rsidRPr="004B6F52">
              <w:rPr>
                <w:rFonts w:eastAsia="Calibri" w:cs="Times New Roman"/>
              </w:rPr>
              <w:t>28.83</w:t>
            </w:r>
            <w:r>
              <w:rPr>
                <w:rFonts w:eastAsia="Calibri" w:cs="Times New Roman"/>
              </w:rPr>
              <w:t>%</w:t>
            </w:r>
          </w:p>
        </w:tc>
        <w:tc>
          <w:tcPr>
            <w:tcW w:w="1021" w:type="dxa"/>
            <w:tcBorders>
              <w:top w:val="single" w:sz="8" w:space="0" w:color="auto"/>
              <w:bottom w:val="single" w:sz="8" w:space="0" w:color="auto"/>
            </w:tcBorders>
            <w:shd w:val="clear" w:color="auto" w:fill="auto"/>
            <w:vAlign w:val="center"/>
          </w:tcPr>
          <w:p w14:paraId="1AD4B66C" w14:textId="77777777" w:rsidR="00AE1F7D" w:rsidRPr="00F12C84" w:rsidRDefault="00907B19" w:rsidP="00AE1F7D">
            <w:pPr>
              <w:widowControl w:val="0"/>
              <w:spacing w:line="256" w:lineRule="auto"/>
              <w:contextualSpacing/>
              <w:jc w:val="center"/>
              <w:outlineLvl w:val="0"/>
              <w:rPr>
                <w:rFonts w:eastAsia="Calibri" w:cs="Times New Roman"/>
                <w:b/>
                <w:bCs/>
              </w:rPr>
            </w:pPr>
            <w:r>
              <w:rPr>
                <w:rFonts w:eastAsia="Calibri" w:cs="Times New Roman"/>
                <w:b/>
                <w:bCs/>
              </w:rPr>
              <w:t>56.5%</w:t>
            </w:r>
          </w:p>
        </w:tc>
        <w:tc>
          <w:tcPr>
            <w:tcW w:w="1024" w:type="dxa"/>
            <w:tcBorders>
              <w:top w:val="single" w:sz="8" w:space="0" w:color="auto"/>
              <w:bottom w:val="single" w:sz="8" w:space="0" w:color="auto"/>
              <w:right w:val="single" w:sz="8" w:space="0" w:color="auto"/>
            </w:tcBorders>
            <w:vAlign w:val="center"/>
          </w:tcPr>
          <w:p w14:paraId="1AD4B66D" w14:textId="77777777" w:rsidR="00AE1F7D" w:rsidRPr="00F12C84" w:rsidRDefault="00907B19" w:rsidP="00AE1F7D">
            <w:pPr>
              <w:widowControl w:val="0"/>
              <w:spacing w:line="256" w:lineRule="auto"/>
              <w:contextualSpacing/>
              <w:jc w:val="center"/>
              <w:outlineLvl w:val="0"/>
              <w:rPr>
                <w:rFonts w:eastAsia="Calibri" w:cs="Times New Roman"/>
                <w:color w:val="5B9BD5"/>
              </w:rPr>
            </w:pPr>
            <w:r w:rsidRPr="00F12C84">
              <w:rPr>
                <w:rFonts w:ascii="Wingdings" w:eastAsia="Arial" w:hAnsi="Wingdings" w:cs="Times New Roman"/>
                <w:color w:val="00B050"/>
                <w:sz w:val="44"/>
              </w:rPr>
              <w:sym w:font="Wingdings" w:char="F0AB"/>
            </w:r>
          </w:p>
        </w:tc>
        <w:tc>
          <w:tcPr>
            <w:tcW w:w="1191" w:type="dxa"/>
            <w:tcBorders>
              <w:top w:val="single" w:sz="8" w:space="0" w:color="auto"/>
              <w:left w:val="single" w:sz="8" w:space="0" w:color="auto"/>
              <w:bottom w:val="single" w:sz="8" w:space="0" w:color="auto"/>
              <w:right w:val="single" w:sz="8" w:space="0" w:color="auto"/>
            </w:tcBorders>
            <w:vAlign w:val="center"/>
          </w:tcPr>
          <w:p w14:paraId="1AD4B66E" w14:textId="77777777" w:rsidR="00AE1F7D" w:rsidRPr="004C7C93" w:rsidRDefault="00907B19" w:rsidP="00AE1F7D">
            <w:pPr>
              <w:widowControl w:val="0"/>
              <w:spacing w:line="256" w:lineRule="auto"/>
              <w:contextualSpacing/>
              <w:jc w:val="center"/>
              <w:outlineLvl w:val="0"/>
              <w:rPr>
                <w:rFonts w:eastAsia="Calibri" w:cs="Times New Roman"/>
                <w:color w:val="FF0000"/>
                <w:sz w:val="20"/>
                <w:szCs w:val="20"/>
              </w:rPr>
            </w:pPr>
            <w:r w:rsidRPr="004C7C93">
              <w:rPr>
                <w:rFonts w:eastAsia="Calibri" w:cs="Times New Roman"/>
                <w:color w:val="00B050"/>
                <w:sz w:val="20"/>
                <w:szCs w:val="20"/>
              </w:rPr>
              <w:t>Better than Q2 2020/21</w:t>
            </w:r>
          </w:p>
        </w:tc>
      </w:tr>
      <w:tr w:rsidR="00066063" w14:paraId="1AD4B677" w14:textId="77777777" w:rsidTr="00AE1F7D">
        <w:trPr>
          <w:trHeight w:val="724"/>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14:paraId="1AD4B670" w14:textId="77777777" w:rsidR="00AE1F7D" w:rsidRPr="00F12C84" w:rsidRDefault="00907B19" w:rsidP="00AE1F7D">
            <w:pPr>
              <w:widowControl w:val="0"/>
              <w:spacing w:line="256" w:lineRule="auto"/>
              <w:contextualSpacing/>
              <w:outlineLvl w:val="0"/>
              <w:rPr>
                <w:rFonts w:eastAsia="Calibri" w:cs="Times New Roman"/>
              </w:rPr>
            </w:pPr>
            <w:r w:rsidRPr="00F12C84">
              <w:rPr>
                <w:rFonts w:eastAsia="Calibri" w:cs="Times New Roman"/>
              </w:rPr>
              <w:t>Percentage of Business Rates (Cumulative YTD)</w:t>
            </w:r>
          </w:p>
        </w:tc>
        <w:tc>
          <w:tcPr>
            <w:tcW w:w="1276" w:type="dxa"/>
            <w:tcBorders>
              <w:top w:val="single" w:sz="8" w:space="0" w:color="auto"/>
              <w:left w:val="single" w:sz="8" w:space="0" w:color="auto"/>
              <w:bottom w:val="single" w:sz="8" w:space="0" w:color="auto"/>
            </w:tcBorders>
            <w:vAlign w:val="center"/>
          </w:tcPr>
          <w:p w14:paraId="1AD4B671" w14:textId="77777777" w:rsidR="00AE1F7D" w:rsidRPr="00F12C84" w:rsidRDefault="00907B19"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95" w:type="dxa"/>
            <w:tcBorders>
              <w:top w:val="single" w:sz="8" w:space="0" w:color="auto"/>
              <w:left w:val="single" w:sz="4" w:space="0" w:color="auto"/>
              <w:bottom w:val="single" w:sz="8" w:space="0" w:color="auto"/>
            </w:tcBorders>
            <w:shd w:val="clear" w:color="auto" w:fill="auto"/>
            <w:vAlign w:val="center"/>
          </w:tcPr>
          <w:p w14:paraId="1AD4B672" w14:textId="77777777" w:rsidR="00AE1F7D" w:rsidRPr="001B4DEE" w:rsidRDefault="00907B19" w:rsidP="00AE1F7D">
            <w:pPr>
              <w:widowControl w:val="0"/>
              <w:spacing w:line="256" w:lineRule="auto"/>
              <w:contextualSpacing/>
              <w:jc w:val="center"/>
              <w:outlineLvl w:val="0"/>
              <w:rPr>
                <w:rFonts w:eastAsia="Calibri" w:cs="Times New Roman"/>
              </w:rPr>
            </w:pPr>
            <w:r w:rsidRPr="001B4DEE">
              <w:rPr>
                <w:rFonts w:eastAsia="Calibri" w:cs="Times New Roman"/>
              </w:rPr>
              <w:t>55.16%</w:t>
            </w:r>
          </w:p>
        </w:tc>
        <w:tc>
          <w:tcPr>
            <w:tcW w:w="1540" w:type="dxa"/>
            <w:tcBorders>
              <w:top w:val="single" w:sz="8" w:space="0" w:color="auto"/>
              <w:bottom w:val="single" w:sz="8" w:space="0" w:color="auto"/>
            </w:tcBorders>
            <w:vAlign w:val="center"/>
          </w:tcPr>
          <w:p w14:paraId="1AD4B673" w14:textId="77777777" w:rsidR="00AE1F7D" w:rsidRPr="004B6F52" w:rsidRDefault="00907B19" w:rsidP="00AE1F7D">
            <w:pPr>
              <w:widowControl w:val="0"/>
              <w:spacing w:line="256" w:lineRule="auto"/>
              <w:contextualSpacing/>
              <w:jc w:val="center"/>
              <w:outlineLvl w:val="0"/>
              <w:rPr>
                <w:rFonts w:eastAsia="Calibri" w:cs="Times New Roman"/>
              </w:rPr>
            </w:pPr>
            <w:r w:rsidRPr="004B6F52">
              <w:rPr>
                <w:rFonts w:eastAsia="Calibri" w:cs="Times New Roman"/>
              </w:rPr>
              <w:t>30.96</w:t>
            </w:r>
            <w:r>
              <w:rPr>
                <w:rFonts w:eastAsia="Calibri" w:cs="Times New Roman"/>
              </w:rPr>
              <w:t>%</w:t>
            </w:r>
          </w:p>
        </w:tc>
        <w:tc>
          <w:tcPr>
            <w:tcW w:w="1021" w:type="dxa"/>
            <w:tcBorders>
              <w:top w:val="single" w:sz="8" w:space="0" w:color="auto"/>
              <w:bottom w:val="single" w:sz="8" w:space="0" w:color="auto"/>
            </w:tcBorders>
            <w:shd w:val="clear" w:color="auto" w:fill="auto"/>
            <w:vAlign w:val="center"/>
          </w:tcPr>
          <w:p w14:paraId="1AD4B674" w14:textId="77777777" w:rsidR="00AE1F7D" w:rsidRPr="00F12C84" w:rsidRDefault="00907B19" w:rsidP="00AE1F7D">
            <w:pPr>
              <w:widowControl w:val="0"/>
              <w:spacing w:line="256" w:lineRule="auto"/>
              <w:contextualSpacing/>
              <w:jc w:val="center"/>
              <w:outlineLvl w:val="0"/>
              <w:rPr>
                <w:rFonts w:eastAsia="Calibri" w:cs="Times New Roman"/>
                <w:b/>
                <w:bCs/>
              </w:rPr>
            </w:pPr>
            <w:r>
              <w:rPr>
                <w:rFonts w:eastAsia="Calibri" w:cs="Times New Roman"/>
                <w:b/>
                <w:bCs/>
              </w:rPr>
              <w:t>51.97%</w:t>
            </w:r>
          </w:p>
        </w:tc>
        <w:tc>
          <w:tcPr>
            <w:tcW w:w="1024" w:type="dxa"/>
            <w:tcBorders>
              <w:top w:val="single" w:sz="8" w:space="0" w:color="auto"/>
              <w:bottom w:val="single" w:sz="8" w:space="0" w:color="auto"/>
              <w:right w:val="single" w:sz="8" w:space="0" w:color="auto"/>
            </w:tcBorders>
            <w:vAlign w:val="center"/>
          </w:tcPr>
          <w:p w14:paraId="1AD4B675" w14:textId="77777777" w:rsidR="00AE1F7D" w:rsidRPr="00F12C84" w:rsidRDefault="00907B19" w:rsidP="00AE1F7D">
            <w:pPr>
              <w:widowControl w:val="0"/>
              <w:spacing w:line="256" w:lineRule="auto"/>
              <w:contextualSpacing/>
              <w:jc w:val="center"/>
              <w:outlineLvl w:val="0"/>
              <w:rPr>
                <w:rFonts w:eastAsia="Calibri" w:cs="Times New Roman"/>
                <w:color w:val="5B9BD5"/>
              </w:rPr>
            </w:pPr>
            <w:r w:rsidRPr="00F12C84">
              <w:rPr>
                <w:rFonts w:ascii="Wingdings 3" w:eastAsia="Arial" w:hAnsi="Wingdings 3" w:cs="Times New Roman"/>
                <w:color w:val="FF0000"/>
                <w:sz w:val="32"/>
              </w:rPr>
              <w:sym w:font="Wingdings 3" w:char="F070"/>
            </w:r>
          </w:p>
        </w:tc>
        <w:tc>
          <w:tcPr>
            <w:tcW w:w="1191" w:type="dxa"/>
            <w:tcBorders>
              <w:top w:val="single" w:sz="8" w:space="0" w:color="auto"/>
              <w:left w:val="single" w:sz="8" w:space="0" w:color="auto"/>
              <w:bottom w:val="single" w:sz="8" w:space="0" w:color="auto"/>
              <w:right w:val="single" w:sz="8" w:space="0" w:color="auto"/>
            </w:tcBorders>
            <w:vAlign w:val="center"/>
          </w:tcPr>
          <w:p w14:paraId="1AD4B676" w14:textId="77777777" w:rsidR="00AE1F7D" w:rsidRPr="004C7C93" w:rsidRDefault="00907B19" w:rsidP="00AE1F7D">
            <w:pPr>
              <w:widowControl w:val="0"/>
              <w:spacing w:line="256" w:lineRule="auto"/>
              <w:contextualSpacing/>
              <w:jc w:val="center"/>
              <w:outlineLvl w:val="0"/>
              <w:rPr>
                <w:rFonts w:eastAsia="Calibri" w:cs="Times New Roman"/>
                <w:color w:val="FF0000"/>
                <w:sz w:val="20"/>
                <w:szCs w:val="20"/>
              </w:rPr>
            </w:pPr>
            <w:r w:rsidRPr="004C7C93">
              <w:rPr>
                <w:rFonts w:eastAsia="Calibri" w:cs="Times New Roman"/>
                <w:color w:val="FF0000"/>
                <w:sz w:val="20"/>
                <w:szCs w:val="20"/>
              </w:rPr>
              <w:t>Worse than Q2 2020/21</w:t>
            </w:r>
          </w:p>
        </w:tc>
      </w:tr>
      <w:bookmarkEnd w:id="23"/>
      <w:bookmarkEnd w:id="24"/>
    </w:tbl>
    <w:p w14:paraId="1AD4B678" w14:textId="77777777" w:rsidR="00AE1F7D" w:rsidRPr="005C459D" w:rsidRDefault="007474A4" w:rsidP="00AE1F7D">
      <w:pPr>
        <w:pStyle w:val="Heading2"/>
        <w:spacing w:before="0" w:beforeAutospacing="0"/>
        <w:rPr>
          <w:rFonts w:cstheme="minorHAnsi"/>
          <w:bCs w:val="0"/>
          <w:color w:val="000000" w:themeColor="text1"/>
          <w:lang w:val="en-US"/>
        </w:rPr>
      </w:pPr>
    </w:p>
    <w:sectPr w:rsidR="00AE1F7D" w:rsidRPr="005C459D" w:rsidSect="00AE1F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4B68E" w14:textId="77777777" w:rsidR="007C00E0" w:rsidRDefault="00907B19">
      <w:pPr>
        <w:spacing w:after="0" w:line="240" w:lineRule="auto"/>
      </w:pPr>
      <w:r>
        <w:separator/>
      </w:r>
    </w:p>
  </w:endnote>
  <w:endnote w:type="continuationSeparator" w:id="0">
    <w:p w14:paraId="1AD4B690" w14:textId="77777777" w:rsidR="007C00E0" w:rsidRDefault="0090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4B68A" w14:textId="77777777" w:rsidR="00AE1F7D" w:rsidRDefault="00907B19">
      <w:pPr>
        <w:spacing w:after="0" w:line="240" w:lineRule="auto"/>
      </w:pPr>
      <w:r>
        <w:separator/>
      </w:r>
    </w:p>
  </w:footnote>
  <w:footnote w:type="continuationSeparator" w:id="0">
    <w:p w14:paraId="1AD4B68B" w14:textId="77777777" w:rsidR="00AE1F7D" w:rsidRDefault="00907B19">
      <w:pPr>
        <w:spacing w:after="0" w:line="240" w:lineRule="auto"/>
      </w:pPr>
      <w:r>
        <w:continuationSeparator/>
      </w:r>
    </w:p>
  </w:footnote>
  <w:footnote w:id="1">
    <w:p w14:paraId="1AD4B68C" w14:textId="77777777" w:rsidR="00AE1F7D" w:rsidRPr="008A6BE6" w:rsidRDefault="00907B19">
      <w:pPr>
        <w:pStyle w:val="FootnoteText"/>
        <w:rPr>
          <w:lang w:val="en-US"/>
        </w:rPr>
      </w:pPr>
      <w:r>
        <w:rPr>
          <w:rStyle w:val="FootnoteReference"/>
        </w:rPr>
        <w:footnoteRef/>
      </w:r>
      <w:r>
        <w:t xml:space="preserve"> </w:t>
      </w:r>
      <w:r>
        <w:rPr>
          <w:lang w:val="en-US"/>
        </w:rPr>
        <w:t xml:space="preserve">There was no tree planting programmed for quarter two, the tree planting season will commence from quarter three.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556"/>
    <w:multiLevelType w:val="hybridMultilevel"/>
    <w:tmpl w:val="0FFA698E"/>
    <w:lvl w:ilvl="0" w:tplc="9D449FD4">
      <w:start w:val="1"/>
      <w:numFmt w:val="bullet"/>
      <w:lvlText w:val=""/>
      <w:lvlJc w:val="left"/>
      <w:pPr>
        <w:ind w:left="1440" w:hanging="360"/>
      </w:pPr>
      <w:rPr>
        <w:rFonts w:ascii="Wingdings 3" w:hAnsi="Wingdings 3" w:hint="default"/>
      </w:rPr>
    </w:lvl>
    <w:lvl w:ilvl="1" w:tplc="FDB0FF34" w:tentative="1">
      <w:start w:val="1"/>
      <w:numFmt w:val="bullet"/>
      <w:lvlText w:val="o"/>
      <w:lvlJc w:val="left"/>
      <w:pPr>
        <w:ind w:left="2160" w:hanging="360"/>
      </w:pPr>
      <w:rPr>
        <w:rFonts w:ascii="Courier New" w:hAnsi="Courier New" w:cs="Courier New" w:hint="default"/>
      </w:rPr>
    </w:lvl>
    <w:lvl w:ilvl="2" w:tplc="1B587642" w:tentative="1">
      <w:start w:val="1"/>
      <w:numFmt w:val="bullet"/>
      <w:lvlText w:val=""/>
      <w:lvlJc w:val="left"/>
      <w:pPr>
        <w:ind w:left="2880" w:hanging="360"/>
      </w:pPr>
      <w:rPr>
        <w:rFonts w:ascii="Wingdings" w:hAnsi="Wingdings" w:hint="default"/>
      </w:rPr>
    </w:lvl>
    <w:lvl w:ilvl="3" w:tplc="4DB69A28" w:tentative="1">
      <w:start w:val="1"/>
      <w:numFmt w:val="bullet"/>
      <w:lvlText w:val=""/>
      <w:lvlJc w:val="left"/>
      <w:pPr>
        <w:ind w:left="3600" w:hanging="360"/>
      </w:pPr>
      <w:rPr>
        <w:rFonts w:ascii="Symbol" w:hAnsi="Symbol" w:hint="default"/>
      </w:rPr>
    </w:lvl>
    <w:lvl w:ilvl="4" w:tplc="883AA846" w:tentative="1">
      <w:start w:val="1"/>
      <w:numFmt w:val="bullet"/>
      <w:lvlText w:val="o"/>
      <w:lvlJc w:val="left"/>
      <w:pPr>
        <w:ind w:left="4320" w:hanging="360"/>
      </w:pPr>
      <w:rPr>
        <w:rFonts w:ascii="Courier New" w:hAnsi="Courier New" w:cs="Courier New" w:hint="default"/>
      </w:rPr>
    </w:lvl>
    <w:lvl w:ilvl="5" w:tplc="23189D56" w:tentative="1">
      <w:start w:val="1"/>
      <w:numFmt w:val="bullet"/>
      <w:lvlText w:val=""/>
      <w:lvlJc w:val="left"/>
      <w:pPr>
        <w:ind w:left="5040" w:hanging="360"/>
      </w:pPr>
      <w:rPr>
        <w:rFonts w:ascii="Wingdings" w:hAnsi="Wingdings" w:hint="default"/>
      </w:rPr>
    </w:lvl>
    <w:lvl w:ilvl="6" w:tplc="688888C8" w:tentative="1">
      <w:start w:val="1"/>
      <w:numFmt w:val="bullet"/>
      <w:lvlText w:val=""/>
      <w:lvlJc w:val="left"/>
      <w:pPr>
        <w:ind w:left="5760" w:hanging="360"/>
      </w:pPr>
      <w:rPr>
        <w:rFonts w:ascii="Symbol" w:hAnsi="Symbol" w:hint="default"/>
      </w:rPr>
    </w:lvl>
    <w:lvl w:ilvl="7" w:tplc="CDCA6312" w:tentative="1">
      <w:start w:val="1"/>
      <w:numFmt w:val="bullet"/>
      <w:lvlText w:val="o"/>
      <w:lvlJc w:val="left"/>
      <w:pPr>
        <w:ind w:left="6480" w:hanging="360"/>
      </w:pPr>
      <w:rPr>
        <w:rFonts w:ascii="Courier New" w:hAnsi="Courier New" w:cs="Courier New" w:hint="default"/>
      </w:rPr>
    </w:lvl>
    <w:lvl w:ilvl="8" w:tplc="465E0DBC" w:tentative="1">
      <w:start w:val="1"/>
      <w:numFmt w:val="bullet"/>
      <w:lvlText w:val=""/>
      <w:lvlJc w:val="left"/>
      <w:pPr>
        <w:ind w:left="7200" w:hanging="360"/>
      </w:pPr>
      <w:rPr>
        <w:rFonts w:ascii="Wingdings" w:hAnsi="Wingdings" w:hint="default"/>
      </w:rPr>
    </w:lvl>
  </w:abstractNum>
  <w:abstractNum w:abstractNumId="1" w15:restartNumberingAfterBreak="0">
    <w:nsid w:val="07E91EDE"/>
    <w:multiLevelType w:val="hybridMultilevel"/>
    <w:tmpl w:val="DB922496"/>
    <w:lvl w:ilvl="0" w:tplc="02F2354A">
      <w:start w:val="1"/>
      <w:numFmt w:val="bullet"/>
      <w:lvlText w:val=""/>
      <w:lvlJc w:val="left"/>
      <w:pPr>
        <w:ind w:left="1800" w:hanging="360"/>
      </w:pPr>
      <w:rPr>
        <w:rFonts w:ascii="Symbol" w:hAnsi="Symbol" w:hint="default"/>
      </w:rPr>
    </w:lvl>
    <w:lvl w:ilvl="1" w:tplc="C0ECD0DA" w:tentative="1">
      <w:start w:val="1"/>
      <w:numFmt w:val="bullet"/>
      <w:lvlText w:val="o"/>
      <w:lvlJc w:val="left"/>
      <w:pPr>
        <w:ind w:left="2520" w:hanging="360"/>
      </w:pPr>
      <w:rPr>
        <w:rFonts w:ascii="Courier New" w:hAnsi="Courier New" w:cs="Courier New" w:hint="default"/>
      </w:rPr>
    </w:lvl>
    <w:lvl w:ilvl="2" w:tplc="E2E873B6" w:tentative="1">
      <w:start w:val="1"/>
      <w:numFmt w:val="bullet"/>
      <w:lvlText w:val=""/>
      <w:lvlJc w:val="left"/>
      <w:pPr>
        <w:ind w:left="3240" w:hanging="360"/>
      </w:pPr>
      <w:rPr>
        <w:rFonts w:ascii="Wingdings" w:hAnsi="Wingdings" w:hint="default"/>
      </w:rPr>
    </w:lvl>
    <w:lvl w:ilvl="3" w:tplc="B01CAA42" w:tentative="1">
      <w:start w:val="1"/>
      <w:numFmt w:val="bullet"/>
      <w:lvlText w:val=""/>
      <w:lvlJc w:val="left"/>
      <w:pPr>
        <w:ind w:left="3960" w:hanging="360"/>
      </w:pPr>
      <w:rPr>
        <w:rFonts w:ascii="Symbol" w:hAnsi="Symbol" w:hint="default"/>
      </w:rPr>
    </w:lvl>
    <w:lvl w:ilvl="4" w:tplc="1CF89A40" w:tentative="1">
      <w:start w:val="1"/>
      <w:numFmt w:val="bullet"/>
      <w:lvlText w:val="o"/>
      <w:lvlJc w:val="left"/>
      <w:pPr>
        <w:ind w:left="4680" w:hanging="360"/>
      </w:pPr>
      <w:rPr>
        <w:rFonts w:ascii="Courier New" w:hAnsi="Courier New" w:cs="Courier New" w:hint="default"/>
      </w:rPr>
    </w:lvl>
    <w:lvl w:ilvl="5" w:tplc="06AAF640" w:tentative="1">
      <w:start w:val="1"/>
      <w:numFmt w:val="bullet"/>
      <w:lvlText w:val=""/>
      <w:lvlJc w:val="left"/>
      <w:pPr>
        <w:ind w:left="5400" w:hanging="360"/>
      </w:pPr>
      <w:rPr>
        <w:rFonts w:ascii="Wingdings" w:hAnsi="Wingdings" w:hint="default"/>
      </w:rPr>
    </w:lvl>
    <w:lvl w:ilvl="6" w:tplc="AC2479A0" w:tentative="1">
      <w:start w:val="1"/>
      <w:numFmt w:val="bullet"/>
      <w:lvlText w:val=""/>
      <w:lvlJc w:val="left"/>
      <w:pPr>
        <w:ind w:left="6120" w:hanging="360"/>
      </w:pPr>
      <w:rPr>
        <w:rFonts w:ascii="Symbol" w:hAnsi="Symbol" w:hint="default"/>
      </w:rPr>
    </w:lvl>
    <w:lvl w:ilvl="7" w:tplc="5B565892" w:tentative="1">
      <w:start w:val="1"/>
      <w:numFmt w:val="bullet"/>
      <w:lvlText w:val="o"/>
      <w:lvlJc w:val="left"/>
      <w:pPr>
        <w:ind w:left="6840" w:hanging="360"/>
      </w:pPr>
      <w:rPr>
        <w:rFonts w:ascii="Courier New" w:hAnsi="Courier New" w:cs="Courier New" w:hint="default"/>
      </w:rPr>
    </w:lvl>
    <w:lvl w:ilvl="8" w:tplc="2E8C1402" w:tentative="1">
      <w:start w:val="1"/>
      <w:numFmt w:val="bullet"/>
      <w:lvlText w:val=""/>
      <w:lvlJc w:val="left"/>
      <w:pPr>
        <w:ind w:left="7560" w:hanging="360"/>
      </w:pPr>
      <w:rPr>
        <w:rFonts w:ascii="Wingdings" w:hAnsi="Wingdings" w:hint="default"/>
      </w:rPr>
    </w:lvl>
  </w:abstractNum>
  <w:abstractNum w:abstractNumId="2" w15:restartNumberingAfterBreak="0">
    <w:nsid w:val="22DC145D"/>
    <w:multiLevelType w:val="hybridMultilevel"/>
    <w:tmpl w:val="EB72218A"/>
    <w:lvl w:ilvl="0" w:tplc="3CB69C4E">
      <w:start w:val="1"/>
      <w:numFmt w:val="bullet"/>
      <w:lvlText w:val=""/>
      <w:lvlJc w:val="left"/>
      <w:pPr>
        <w:ind w:left="1800" w:hanging="360"/>
      </w:pPr>
      <w:rPr>
        <w:rFonts w:ascii="Symbol" w:hAnsi="Symbol" w:hint="default"/>
      </w:rPr>
    </w:lvl>
    <w:lvl w:ilvl="1" w:tplc="C51E993E" w:tentative="1">
      <w:start w:val="1"/>
      <w:numFmt w:val="bullet"/>
      <w:lvlText w:val="o"/>
      <w:lvlJc w:val="left"/>
      <w:pPr>
        <w:ind w:left="2520" w:hanging="360"/>
      </w:pPr>
      <w:rPr>
        <w:rFonts w:ascii="Courier New" w:hAnsi="Courier New" w:cs="Courier New" w:hint="default"/>
      </w:rPr>
    </w:lvl>
    <w:lvl w:ilvl="2" w:tplc="7BEEE282" w:tentative="1">
      <w:start w:val="1"/>
      <w:numFmt w:val="bullet"/>
      <w:lvlText w:val=""/>
      <w:lvlJc w:val="left"/>
      <w:pPr>
        <w:ind w:left="3240" w:hanging="360"/>
      </w:pPr>
      <w:rPr>
        <w:rFonts w:ascii="Wingdings" w:hAnsi="Wingdings" w:hint="default"/>
      </w:rPr>
    </w:lvl>
    <w:lvl w:ilvl="3" w:tplc="4EC2D92E" w:tentative="1">
      <w:start w:val="1"/>
      <w:numFmt w:val="bullet"/>
      <w:lvlText w:val=""/>
      <w:lvlJc w:val="left"/>
      <w:pPr>
        <w:ind w:left="3960" w:hanging="360"/>
      </w:pPr>
      <w:rPr>
        <w:rFonts w:ascii="Symbol" w:hAnsi="Symbol" w:hint="default"/>
      </w:rPr>
    </w:lvl>
    <w:lvl w:ilvl="4" w:tplc="62F4A08C" w:tentative="1">
      <w:start w:val="1"/>
      <w:numFmt w:val="bullet"/>
      <w:lvlText w:val="o"/>
      <w:lvlJc w:val="left"/>
      <w:pPr>
        <w:ind w:left="4680" w:hanging="360"/>
      </w:pPr>
      <w:rPr>
        <w:rFonts w:ascii="Courier New" w:hAnsi="Courier New" w:cs="Courier New" w:hint="default"/>
      </w:rPr>
    </w:lvl>
    <w:lvl w:ilvl="5" w:tplc="CA7A60F4" w:tentative="1">
      <w:start w:val="1"/>
      <w:numFmt w:val="bullet"/>
      <w:lvlText w:val=""/>
      <w:lvlJc w:val="left"/>
      <w:pPr>
        <w:ind w:left="5400" w:hanging="360"/>
      </w:pPr>
      <w:rPr>
        <w:rFonts w:ascii="Wingdings" w:hAnsi="Wingdings" w:hint="default"/>
      </w:rPr>
    </w:lvl>
    <w:lvl w:ilvl="6" w:tplc="03FAD288" w:tentative="1">
      <w:start w:val="1"/>
      <w:numFmt w:val="bullet"/>
      <w:lvlText w:val=""/>
      <w:lvlJc w:val="left"/>
      <w:pPr>
        <w:ind w:left="6120" w:hanging="360"/>
      </w:pPr>
      <w:rPr>
        <w:rFonts w:ascii="Symbol" w:hAnsi="Symbol" w:hint="default"/>
      </w:rPr>
    </w:lvl>
    <w:lvl w:ilvl="7" w:tplc="5EA2D7A4" w:tentative="1">
      <w:start w:val="1"/>
      <w:numFmt w:val="bullet"/>
      <w:lvlText w:val="o"/>
      <w:lvlJc w:val="left"/>
      <w:pPr>
        <w:ind w:left="6840" w:hanging="360"/>
      </w:pPr>
      <w:rPr>
        <w:rFonts w:ascii="Courier New" w:hAnsi="Courier New" w:cs="Courier New" w:hint="default"/>
      </w:rPr>
    </w:lvl>
    <w:lvl w:ilvl="8" w:tplc="392EF436" w:tentative="1">
      <w:start w:val="1"/>
      <w:numFmt w:val="bullet"/>
      <w:lvlText w:val=""/>
      <w:lvlJc w:val="left"/>
      <w:pPr>
        <w:ind w:left="7560" w:hanging="360"/>
      </w:pPr>
      <w:rPr>
        <w:rFonts w:ascii="Wingdings" w:hAnsi="Wingdings" w:hint="default"/>
      </w:rPr>
    </w:lvl>
  </w:abstractNum>
  <w:abstractNum w:abstractNumId="3" w15:restartNumberingAfterBreak="0">
    <w:nsid w:val="2D682B4B"/>
    <w:multiLevelType w:val="hybridMultilevel"/>
    <w:tmpl w:val="27D0AF2A"/>
    <w:lvl w:ilvl="0" w:tplc="2478761A">
      <w:start w:val="1"/>
      <w:numFmt w:val="bullet"/>
      <w:lvlText w:val=""/>
      <w:lvlJc w:val="left"/>
      <w:pPr>
        <w:ind w:left="990" w:hanging="360"/>
      </w:pPr>
      <w:rPr>
        <w:rFonts w:ascii="Symbol" w:hAnsi="Symbol" w:hint="default"/>
      </w:rPr>
    </w:lvl>
    <w:lvl w:ilvl="1" w:tplc="4B42A662" w:tentative="1">
      <w:start w:val="1"/>
      <w:numFmt w:val="bullet"/>
      <w:lvlText w:val="o"/>
      <w:lvlJc w:val="left"/>
      <w:pPr>
        <w:ind w:left="1710" w:hanging="360"/>
      </w:pPr>
      <w:rPr>
        <w:rFonts w:ascii="Courier New" w:hAnsi="Courier New" w:cs="Courier New" w:hint="default"/>
      </w:rPr>
    </w:lvl>
    <w:lvl w:ilvl="2" w:tplc="7222F0D0" w:tentative="1">
      <w:start w:val="1"/>
      <w:numFmt w:val="bullet"/>
      <w:lvlText w:val=""/>
      <w:lvlJc w:val="left"/>
      <w:pPr>
        <w:ind w:left="2430" w:hanging="360"/>
      </w:pPr>
      <w:rPr>
        <w:rFonts w:ascii="Wingdings" w:hAnsi="Wingdings" w:hint="default"/>
      </w:rPr>
    </w:lvl>
    <w:lvl w:ilvl="3" w:tplc="1B18AC7A" w:tentative="1">
      <w:start w:val="1"/>
      <w:numFmt w:val="bullet"/>
      <w:lvlText w:val=""/>
      <w:lvlJc w:val="left"/>
      <w:pPr>
        <w:ind w:left="3150" w:hanging="360"/>
      </w:pPr>
      <w:rPr>
        <w:rFonts w:ascii="Symbol" w:hAnsi="Symbol" w:hint="default"/>
      </w:rPr>
    </w:lvl>
    <w:lvl w:ilvl="4" w:tplc="4164F98C" w:tentative="1">
      <w:start w:val="1"/>
      <w:numFmt w:val="bullet"/>
      <w:lvlText w:val="o"/>
      <w:lvlJc w:val="left"/>
      <w:pPr>
        <w:ind w:left="3870" w:hanging="360"/>
      </w:pPr>
      <w:rPr>
        <w:rFonts w:ascii="Courier New" w:hAnsi="Courier New" w:cs="Courier New" w:hint="default"/>
      </w:rPr>
    </w:lvl>
    <w:lvl w:ilvl="5" w:tplc="33CC8EFE" w:tentative="1">
      <w:start w:val="1"/>
      <w:numFmt w:val="bullet"/>
      <w:lvlText w:val=""/>
      <w:lvlJc w:val="left"/>
      <w:pPr>
        <w:ind w:left="4590" w:hanging="360"/>
      </w:pPr>
      <w:rPr>
        <w:rFonts w:ascii="Wingdings" w:hAnsi="Wingdings" w:hint="default"/>
      </w:rPr>
    </w:lvl>
    <w:lvl w:ilvl="6" w:tplc="0B064488" w:tentative="1">
      <w:start w:val="1"/>
      <w:numFmt w:val="bullet"/>
      <w:lvlText w:val=""/>
      <w:lvlJc w:val="left"/>
      <w:pPr>
        <w:ind w:left="5310" w:hanging="360"/>
      </w:pPr>
      <w:rPr>
        <w:rFonts w:ascii="Symbol" w:hAnsi="Symbol" w:hint="default"/>
      </w:rPr>
    </w:lvl>
    <w:lvl w:ilvl="7" w:tplc="69925D3A" w:tentative="1">
      <w:start w:val="1"/>
      <w:numFmt w:val="bullet"/>
      <w:lvlText w:val="o"/>
      <w:lvlJc w:val="left"/>
      <w:pPr>
        <w:ind w:left="6030" w:hanging="360"/>
      </w:pPr>
      <w:rPr>
        <w:rFonts w:ascii="Courier New" w:hAnsi="Courier New" w:cs="Courier New" w:hint="default"/>
      </w:rPr>
    </w:lvl>
    <w:lvl w:ilvl="8" w:tplc="DF3CA734" w:tentative="1">
      <w:start w:val="1"/>
      <w:numFmt w:val="bullet"/>
      <w:lvlText w:val=""/>
      <w:lvlJc w:val="left"/>
      <w:pPr>
        <w:ind w:left="6750" w:hanging="360"/>
      </w:pPr>
      <w:rPr>
        <w:rFonts w:ascii="Wingdings" w:hAnsi="Wingdings" w:hint="default"/>
      </w:rPr>
    </w:lvl>
  </w:abstractNum>
  <w:abstractNum w:abstractNumId="4" w15:restartNumberingAfterBreak="0">
    <w:nsid w:val="36E35D47"/>
    <w:multiLevelType w:val="hybridMultilevel"/>
    <w:tmpl w:val="79DC8554"/>
    <w:lvl w:ilvl="0" w:tplc="854ACD4A">
      <w:start w:val="1"/>
      <w:numFmt w:val="decimal"/>
      <w:lvlText w:val="%1."/>
      <w:lvlJc w:val="left"/>
      <w:pPr>
        <w:ind w:left="1140" w:hanging="360"/>
      </w:pPr>
    </w:lvl>
    <w:lvl w:ilvl="1" w:tplc="0B4CADF4" w:tentative="1">
      <w:start w:val="1"/>
      <w:numFmt w:val="lowerLetter"/>
      <w:lvlText w:val="%2."/>
      <w:lvlJc w:val="left"/>
      <w:pPr>
        <w:ind w:left="1860" w:hanging="360"/>
      </w:pPr>
    </w:lvl>
    <w:lvl w:ilvl="2" w:tplc="07A8FB16" w:tentative="1">
      <w:start w:val="1"/>
      <w:numFmt w:val="lowerRoman"/>
      <w:lvlText w:val="%3."/>
      <w:lvlJc w:val="right"/>
      <w:pPr>
        <w:ind w:left="2580" w:hanging="180"/>
      </w:pPr>
    </w:lvl>
    <w:lvl w:ilvl="3" w:tplc="3F9C9336" w:tentative="1">
      <w:start w:val="1"/>
      <w:numFmt w:val="decimal"/>
      <w:lvlText w:val="%4."/>
      <w:lvlJc w:val="left"/>
      <w:pPr>
        <w:ind w:left="3300" w:hanging="360"/>
      </w:pPr>
    </w:lvl>
    <w:lvl w:ilvl="4" w:tplc="0F92D530" w:tentative="1">
      <w:start w:val="1"/>
      <w:numFmt w:val="lowerLetter"/>
      <w:lvlText w:val="%5."/>
      <w:lvlJc w:val="left"/>
      <w:pPr>
        <w:ind w:left="4020" w:hanging="360"/>
      </w:pPr>
    </w:lvl>
    <w:lvl w:ilvl="5" w:tplc="249A8E70" w:tentative="1">
      <w:start w:val="1"/>
      <w:numFmt w:val="lowerRoman"/>
      <w:lvlText w:val="%6."/>
      <w:lvlJc w:val="right"/>
      <w:pPr>
        <w:ind w:left="4740" w:hanging="180"/>
      </w:pPr>
    </w:lvl>
    <w:lvl w:ilvl="6" w:tplc="E3109C00" w:tentative="1">
      <w:start w:val="1"/>
      <w:numFmt w:val="decimal"/>
      <w:lvlText w:val="%7."/>
      <w:lvlJc w:val="left"/>
      <w:pPr>
        <w:ind w:left="5460" w:hanging="360"/>
      </w:pPr>
    </w:lvl>
    <w:lvl w:ilvl="7" w:tplc="3ADA45E8" w:tentative="1">
      <w:start w:val="1"/>
      <w:numFmt w:val="lowerLetter"/>
      <w:lvlText w:val="%8."/>
      <w:lvlJc w:val="left"/>
      <w:pPr>
        <w:ind w:left="6180" w:hanging="360"/>
      </w:pPr>
    </w:lvl>
    <w:lvl w:ilvl="8" w:tplc="2DBAAB54" w:tentative="1">
      <w:start w:val="1"/>
      <w:numFmt w:val="lowerRoman"/>
      <w:lvlText w:val="%9."/>
      <w:lvlJc w:val="right"/>
      <w:pPr>
        <w:ind w:left="6900" w:hanging="180"/>
      </w:pPr>
    </w:lvl>
  </w:abstractNum>
  <w:abstractNum w:abstractNumId="5" w15:restartNumberingAfterBreak="0">
    <w:nsid w:val="37493668"/>
    <w:multiLevelType w:val="hybridMultilevel"/>
    <w:tmpl w:val="2A2E8EEC"/>
    <w:lvl w:ilvl="0" w:tplc="5882F70C">
      <w:start w:val="13"/>
      <w:numFmt w:val="decimal"/>
      <w:lvlText w:val="%1."/>
      <w:lvlJc w:val="left"/>
      <w:pPr>
        <w:ind w:left="360" w:hanging="360"/>
      </w:pPr>
      <w:rPr>
        <w:rFonts w:cs="Times New Roman" w:hint="default"/>
        <w:color w:val="auto"/>
      </w:rPr>
    </w:lvl>
    <w:lvl w:ilvl="1" w:tplc="406A72BC" w:tentative="1">
      <w:start w:val="1"/>
      <w:numFmt w:val="lowerLetter"/>
      <w:lvlText w:val="%2."/>
      <w:lvlJc w:val="left"/>
      <w:pPr>
        <w:ind w:left="1647" w:hanging="360"/>
      </w:pPr>
    </w:lvl>
    <w:lvl w:ilvl="2" w:tplc="10D2BF3C" w:tentative="1">
      <w:start w:val="1"/>
      <w:numFmt w:val="lowerRoman"/>
      <w:lvlText w:val="%3."/>
      <w:lvlJc w:val="right"/>
      <w:pPr>
        <w:ind w:left="2367" w:hanging="180"/>
      </w:pPr>
    </w:lvl>
    <w:lvl w:ilvl="3" w:tplc="E48A2032" w:tentative="1">
      <w:start w:val="1"/>
      <w:numFmt w:val="decimal"/>
      <w:lvlText w:val="%4."/>
      <w:lvlJc w:val="left"/>
      <w:pPr>
        <w:ind w:left="3087" w:hanging="360"/>
      </w:pPr>
    </w:lvl>
    <w:lvl w:ilvl="4" w:tplc="6434765A" w:tentative="1">
      <w:start w:val="1"/>
      <w:numFmt w:val="lowerLetter"/>
      <w:lvlText w:val="%5."/>
      <w:lvlJc w:val="left"/>
      <w:pPr>
        <w:ind w:left="3807" w:hanging="360"/>
      </w:pPr>
    </w:lvl>
    <w:lvl w:ilvl="5" w:tplc="F6F82C9E" w:tentative="1">
      <w:start w:val="1"/>
      <w:numFmt w:val="lowerRoman"/>
      <w:lvlText w:val="%6."/>
      <w:lvlJc w:val="right"/>
      <w:pPr>
        <w:ind w:left="4527" w:hanging="180"/>
      </w:pPr>
    </w:lvl>
    <w:lvl w:ilvl="6" w:tplc="1DCC93D8" w:tentative="1">
      <w:start w:val="1"/>
      <w:numFmt w:val="decimal"/>
      <w:lvlText w:val="%7."/>
      <w:lvlJc w:val="left"/>
      <w:pPr>
        <w:ind w:left="5247" w:hanging="360"/>
      </w:pPr>
    </w:lvl>
    <w:lvl w:ilvl="7" w:tplc="4A609D92" w:tentative="1">
      <w:start w:val="1"/>
      <w:numFmt w:val="lowerLetter"/>
      <w:lvlText w:val="%8."/>
      <w:lvlJc w:val="left"/>
      <w:pPr>
        <w:ind w:left="5967" w:hanging="360"/>
      </w:pPr>
    </w:lvl>
    <w:lvl w:ilvl="8" w:tplc="90E636BC" w:tentative="1">
      <w:start w:val="1"/>
      <w:numFmt w:val="lowerRoman"/>
      <w:lvlText w:val="%9."/>
      <w:lvlJc w:val="right"/>
      <w:pPr>
        <w:ind w:left="6687" w:hanging="180"/>
      </w:pPr>
    </w:lvl>
  </w:abstractNum>
  <w:abstractNum w:abstractNumId="6" w15:restartNumberingAfterBreak="0">
    <w:nsid w:val="3B0324D4"/>
    <w:multiLevelType w:val="hybridMultilevel"/>
    <w:tmpl w:val="0CE2B5E6"/>
    <w:lvl w:ilvl="0" w:tplc="06A4FC72">
      <w:start w:val="1"/>
      <w:numFmt w:val="bullet"/>
      <w:lvlText w:val=""/>
      <w:lvlJc w:val="left"/>
      <w:pPr>
        <w:ind w:left="720" w:hanging="360"/>
      </w:pPr>
      <w:rPr>
        <w:rFonts w:ascii="Symbol" w:hAnsi="Symbol" w:hint="default"/>
        <w:color w:val="7FC444"/>
      </w:rPr>
    </w:lvl>
    <w:lvl w:ilvl="1" w:tplc="6D82978A" w:tentative="1">
      <w:start w:val="1"/>
      <w:numFmt w:val="bullet"/>
      <w:lvlText w:val="o"/>
      <w:lvlJc w:val="left"/>
      <w:pPr>
        <w:ind w:left="1800" w:hanging="360"/>
      </w:pPr>
      <w:rPr>
        <w:rFonts w:ascii="Courier New" w:hAnsi="Courier New" w:cs="Courier New" w:hint="default"/>
      </w:rPr>
    </w:lvl>
    <w:lvl w:ilvl="2" w:tplc="25660764" w:tentative="1">
      <w:start w:val="1"/>
      <w:numFmt w:val="bullet"/>
      <w:lvlText w:val=""/>
      <w:lvlJc w:val="left"/>
      <w:pPr>
        <w:ind w:left="2520" w:hanging="360"/>
      </w:pPr>
      <w:rPr>
        <w:rFonts w:ascii="Wingdings" w:hAnsi="Wingdings" w:hint="default"/>
      </w:rPr>
    </w:lvl>
    <w:lvl w:ilvl="3" w:tplc="0082EA62" w:tentative="1">
      <w:start w:val="1"/>
      <w:numFmt w:val="bullet"/>
      <w:lvlText w:val=""/>
      <w:lvlJc w:val="left"/>
      <w:pPr>
        <w:ind w:left="3240" w:hanging="360"/>
      </w:pPr>
      <w:rPr>
        <w:rFonts w:ascii="Symbol" w:hAnsi="Symbol" w:hint="default"/>
      </w:rPr>
    </w:lvl>
    <w:lvl w:ilvl="4" w:tplc="4C1663F8" w:tentative="1">
      <w:start w:val="1"/>
      <w:numFmt w:val="bullet"/>
      <w:lvlText w:val="o"/>
      <w:lvlJc w:val="left"/>
      <w:pPr>
        <w:ind w:left="3960" w:hanging="360"/>
      </w:pPr>
      <w:rPr>
        <w:rFonts w:ascii="Courier New" w:hAnsi="Courier New" w:cs="Courier New" w:hint="default"/>
      </w:rPr>
    </w:lvl>
    <w:lvl w:ilvl="5" w:tplc="9CE0BFAA" w:tentative="1">
      <w:start w:val="1"/>
      <w:numFmt w:val="bullet"/>
      <w:lvlText w:val=""/>
      <w:lvlJc w:val="left"/>
      <w:pPr>
        <w:ind w:left="4680" w:hanging="360"/>
      </w:pPr>
      <w:rPr>
        <w:rFonts w:ascii="Wingdings" w:hAnsi="Wingdings" w:hint="default"/>
      </w:rPr>
    </w:lvl>
    <w:lvl w:ilvl="6" w:tplc="8F449F74" w:tentative="1">
      <w:start w:val="1"/>
      <w:numFmt w:val="bullet"/>
      <w:lvlText w:val=""/>
      <w:lvlJc w:val="left"/>
      <w:pPr>
        <w:ind w:left="5400" w:hanging="360"/>
      </w:pPr>
      <w:rPr>
        <w:rFonts w:ascii="Symbol" w:hAnsi="Symbol" w:hint="default"/>
      </w:rPr>
    </w:lvl>
    <w:lvl w:ilvl="7" w:tplc="A1F01F38" w:tentative="1">
      <w:start w:val="1"/>
      <w:numFmt w:val="bullet"/>
      <w:lvlText w:val="o"/>
      <w:lvlJc w:val="left"/>
      <w:pPr>
        <w:ind w:left="6120" w:hanging="360"/>
      </w:pPr>
      <w:rPr>
        <w:rFonts w:ascii="Courier New" w:hAnsi="Courier New" w:cs="Courier New" w:hint="default"/>
      </w:rPr>
    </w:lvl>
    <w:lvl w:ilvl="8" w:tplc="1CCC2B20" w:tentative="1">
      <w:start w:val="1"/>
      <w:numFmt w:val="bullet"/>
      <w:lvlText w:val=""/>
      <w:lvlJc w:val="left"/>
      <w:pPr>
        <w:ind w:left="6840" w:hanging="360"/>
      </w:pPr>
      <w:rPr>
        <w:rFonts w:ascii="Wingdings" w:hAnsi="Wingdings" w:hint="default"/>
      </w:rPr>
    </w:lvl>
  </w:abstractNum>
  <w:abstractNum w:abstractNumId="7" w15:restartNumberingAfterBreak="0">
    <w:nsid w:val="3C997D7D"/>
    <w:multiLevelType w:val="hybridMultilevel"/>
    <w:tmpl w:val="FCF4C354"/>
    <w:lvl w:ilvl="0" w:tplc="E44E43EE">
      <w:start w:val="1"/>
      <w:numFmt w:val="bullet"/>
      <w:lvlText w:val=""/>
      <w:lvlJc w:val="left"/>
      <w:pPr>
        <w:ind w:left="720" w:hanging="360"/>
      </w:pPr>
      <w:rPr>
        <w:rFonts w:ascii="Symbol" w:hAnsi="Symbol" w:hint="default"/>
      </w:rPr>
    </w:lvl>
    <w:lvl w:ilvl="1" w:tplc="8160BBDE">
      <w:start w:val="1"/>
      <w:numFmt w:val="bullet"/>
      <w:lvlText w:val="o"/>
      <w:lvlJc w:val="left"/>
      <w:pPr>
        <w:ind w:left="1440" w:hanging="360"/>
      </w:pPr>
      <w:rPr>
        <w:rFonts w:ascii="Courier New" w:hAnsi="Courier New" w:cs="Courier New" w:hint="default"/>
      </w:rPr>
    </w:lvl>
    <w:lvl w:ilvl="2" w:tplc="BD20EC8E">
      <w:start w:val="1"/>
      <w:numFmt w:val="bullet"/>
      <w:lvlText w:val=""/>
      <w:lvlJc w:val="left"/>
      <w:pPr>
        <w:ind w:left="2160" w:hanging="360"/>
      </w:pPr>
      <w:rPr>
        <w:rFonts w:ascii="Wingdings" w:hAnsi="Wingdings" w:hint="default"/>
      </w:rPr>
    </w:lvl>
    <w:lvl w:ilvl="3" w:tplc="9E2EB9A0">
      <w:start w:val="1"/>
      <w:numFmt w:val="bullet"/>
      <w:lvlText w:val=""/>
      <w:lvlJc w:val="left"/>
      <w:pPr>
        <w:ind w:left="2880" w:hanging="360"/>
      </w:pPr>
      <w:rPr>
        <w:rFonts w:ascii="Symbol" w:hAnsi="Symbol" w:hint="default"/>
      </w:rPr>
    </w:lvl>
    <w:lvl w:ilvl="4" w:tplc="E0862974">
      <w:start w:val="1"/>
      <w:numFmt w:val="bullet"/>
      <w:lvlText w:val="o"/>
      <w:lvlJc w:val="left"/>
      <w:pPr>
        <w:ind w:left="3600" w:hanging="360"/>
      </w:pPr>
      <w:rPr>
        <w:rFonts w:ascii="Courier New" w:hAnsi="Courier New" w:cs="Courier New" w:hint="default"/>
      </w:rPr>
    </w:lvl>
    <w:lvl w:ilvl="5" w:tplc="C86ED762">
      <w:start w:val="1"/>
      <w:numFmt w:val="bullet"/>
      <w:lvlText w:val=""/>
      <w:lvlJc w:val="left"/>
      <w:pPr>
        <w:ind w:left="4320" w:hanging="360"/>
      </w:pPr>
      <w:rPr>
        <w:rFonts w:ascii="Wingdings" w:hAnsi="Wingdings" w:hint="default"/>
      </w:rPr>
    </w:lvl>
    <w:lvl w:ilvl="6" w:tplc="6590B71A">
      <w:start w:val="1"/>
      <w:numFmt w:val="bullet"/>
      <w:lvlText w:val=""/>
      <w:lvlJc w:val="left"/>
      <w:pPr>
        <w:ind w:left="5040" w:hanging="360"/>
      </w:pPr>
      <w:rPr>
        <w:rFonts w:ascii="Symbol" w:hAnsi="Symbol" w:hint="default"/>
      </w:rPr>
    </w:lvl>
    <w:lvl w:ilvl="7" w:tplc="DD300A42">
      <w:start w:val="1"/>
      <w:numFmt w:val="bullet"/>
      <w:lvlText w:val="o"/>
      <w:lvlJc w:val="left"/>
      <w:pPr>
        <w:ind w:left="5760" w:hanging="360"/>
      </w:pPr>
      <w:rPr>
        <w:rFonts w:ascii="Courier New" w:hAnsi="Courier New" w:cs="Courier New" w:hint="default"/>
      </w:rPr>
    </w:lvl>
    <w:lvl w:ilvl="8" w:tplc="E3F4CE6A">
      <w:start w:val="1"/>
      <w:numFmt w:val="bullet"/>
      <w:lvlText w:val=""/>
      <w:lvlJc w:val="left"/>
      <w:pPr>
        <w:ind w:left="6480" w:hanging="360"/>
      </w:pPr>
      <w:rPr>
        <w:rFonts w:ascii="Wingdings" w:hAnsi="Wingdings" w:hint="default"/>
      </w:rPr>
    </w:lvl>
  </w:abstractNum>
  <w:abstractNum w:abstractNumId="8" w15:restartNumberingAfterBreak="0">
    <w:nsid w:val="3D785F99"/>
    <w:multiLevelType w:val="hybridMultilevel"/>
    <w:tmpl w:val="7D40A3D0"/>
    <w:lvl w:ilvl="0" w:tplc="7BAE5C08">
      <w:start w:val="1"/>
      <w:numFmt w:val="bullet"/>
      <w:lvlText w:val=""/>
      <w:lvlJc w:val="left"/>
      <w:pPr>
        <w:ind w:left="720" w:hanging="360"/>
      </w:pPr>
      <w:rPr>
        <w:rFonts w:ascii="Symbol" w:hAnsi="Symbol" w:hint="default"/>
      </w:rPr>
    </w:lvl>
    <w:lvl w:ilvl="1" w:tplc="F12817F8" w:tentative="1">
      <w:start w:val="1"/>
      <w:numFmt w:val="bullet"/>
      <w:lvlText w:val="o"/>
      <w:lvlJc w:val="left"/>
      <w:pPr>
        <w:ind w:left="1440" w:hanging="360"/>
      </w:pPr>
      <w:rPr>
        <w:rFonts w:ascii="Courier New" w:hAnsi="Courier New" w:cs="Courier New" w:hint="default"/>
      </w:rPr>
    </w:lvl>
    <w:lvl w:ilvl="2" w:tplc="D1043AFA" w:tentative="1">
      <w:start w:val="1"/>
      <w:numFmt w:val="bullet"/>
      <w:lvlText w:val=""/>
      <w:lvlJc w:val="left"/>
      <w:pPr>
        <w:ind w:left="2160" w:hanging="360"/>
      </w:pPr>
      <w:rPr>
        <w:rFonts w:ascii="Wingdings" w:hAnsi="Wingdings" w:hint="default"/>
      </w:rPr>
    </w:lvl>
    <w:lvl w:ilvl="3" w:tplc="108C1B76" w:tentative="1">
      <w:start w:val="1"/>
      <w:numFmt w:val="bullet"/>
      <w:lvlText w:val=""/>
      <w:lvlJc w:val="left"/>
      <w:pPr>
        <w:ind w:left="2880" w:hanging="360"/>
      </w:pPr>
      <w:rPr>
        <w:rFonts w:ascii="Symbol" w:hAnsi="Symbol" w:hint="default"/>
      </w:rPr>
    </w:lvl>
    <w:lvl w:ilvl="4" w:tplc="DF822234" w:tentative="1">
      <w:start w:val="1"/>
      <w:numFmt w:val="bullet"/>
      <w:lvlText w:val="o"/>
      <w:lvlJc w:val="left"/>
      <w:pPr>
        <w:ind w:left="3600" w:hanging="360"/>
      </w:pPr>
      <w:rPr>
        <w:rFonts w:ascii="Courier New" w:hAnsi="Courier New" w:cs="Courier New" w:hint="default"/>
      </w:rPr>
    </w:lvl>
    <w:lvl w:ilvl="5" w:tplc="8E54BD8E" w:tentative="1">
      <w:start w:val="1"/>
      <w:numFmt w:val="bullet"/>
      <w:lvlText w:val=""/>
      <w:lvlJc w:val="left"/>
      <w:pPr>
        <w:ind w:left="4320" w:hanging="360"/>
      </w:pPr>
      <w:rPr>
        <w:rFonts w:ascii="Wingdings" w:hAnsi="Wingdings" w:hint="default"/>
      </w:rPr>
    </w:lvl>
    <w:lvl w:ilvl="6" w:tplc="776260EA" w:tentative="1">
      <w:start w:val="1"/>
      <w:numFmt w:val="bullet"/>
      <w:lvlText w:val=""/>
      <w:lvlJc w:val="left"/>
      <w:pPr>
        <w:ind w:left="5040" w:hanging="360"/>
      </w:pPr>
      <w:rPr>
        <w:rFonts w:ascii="Symbol" w:hAnsi="Symbol" w:hint="default"/>
      </w:rPr>
    </w:lvl>
    <w:lvl w:ilvl="7" w:tplc="7C789302" w:tentative="1">
      <w:start w:val="1"/>
      <w:numFmt w:val="bullet"/>
      <w:lvlText w:val="o"/>
      <w:lvlJc w:val="left"/>
      <w:pPr>
        <w:ind w:left="5760" w:hanging="360"/>
      </w:pPr>
      <w:rPr>
        <w:rFonts w:ascii="Courier New" w:hAnsi="Courier New" w:cs="Courier New" w:hint="default"/>
      </w:rPr>
    </w:lvl>
    <w:lvl w:ilvl="8" w:tplc="342627BE" w:tentative="1">
      <w:start w:val="1"/>
      <w:numFmt w:val="bullet"/>
      <w:lvlText w:val=""/>
      <w:lvlJc w:val="left"/>
      <w:pPr>
        <w:ind w:left="6480" w:hanging="360"/>
      </w:pPr>
      <w:rPr>
        <w:rFonts w:ascii="Wingdings" w:hAnsi="Wingdings" w:hint="default"/>
      </w:rPr>
    </w:lvl>
  </w:abstractNum>
  <w:abstractNum w:abstractNumId="9" w15:restartNumberingAfterBreak="0">
    <w:nsid w:val="48A82520"/>
    <w:multiLevelType w:val="hybridMultilevel"/>
    <w:tmpl w:val="01880F44"/>
    <w:lvl w:ilvl="0" w:tplc="21BECDD0">
      <w:start w:val="1"/>
      <w:numFmt w:val="bullet"/>
      <w:lvlText w:val=""/>
      <w:lvlJc w:val="left"/>
      <w:pPr>
        <w:ind w:left="1141" w:hanging="360"/>
      </w:pPr>
      <w:rPr>
        <w:rFonts w:ascii="Symbol" w:hAnsi="Symbol" w:hint="default"/>
      </w:rPr>
    </w:lvl>
    <w:lvl w:ilvl="1" w:tplc="62CA66B6" w:tentative="1">
      <w:start w:val="1"/>
      <w:numFmt w:val="bullet"/>
      <w:lvlText w:val="o"/>
      <w:lvlJc w:val="left"/>
      <w:pPr>
        <w:ind w:left="1861" w:hanging="360"/>
      </w:pPr>
      <w:rPr>
        <w:rFonts w:ascii="Courier New" w:hAnsi="Courier New" w:cs="Courier New" w:hint="default"/>
      </w:rPr>
    </w:lvl>
    <w:lvl w:ilvl="2" w:tplc="BD7A76EE" w:tentative="1">
      <w:start w:val="1"/>
      <w:numFmt w:val="bullet"/>
      <w:lvlText w:val=""/>
      <w:lvlJc w:val="left"/>
      <w:pPr>
        <w:ind w:left="2581" w:hanging="360"/>
      </w:pPr>
      <w:rPr>
        <w:rFonts w:ascii="Wingdings" w:hAnsi="Wingdings" w:hint="default"/>
      </w:rPr>
    </w:lvl>
    <w:lvl w:ilvl="3" w:tplc="06FC29E6" w:tentative="1">
      <w:start w:val="1"/>
      <w:numFmt w:val="bullet"/>
      <w:lvlText w:val=""/>
      <w:lvlJc w:val="left"/>
      <w:pPr>
        <w:ind w:left="3301" w:hanging="360"/>
      </w:pPr>
      <w:rPr>
        <w:rFonts w:ascii="Symbol" w:hAnsi="Symbol" w:hint="default"/>
      </w:rPr>
    </w:lvl>
    <w:lvl w:ilvl="4" w:tplc="C92AFD42" w:tentative="1">
      <w:start w:val="1"/>
      <w:numFmt w:val="bullet"/>
      <w:lvlText w:val="o"/>
      <w:lvlJc w:val="left"/>
      <w:pPr>
        <w:ind w:left="4021" w:hanging="360"/>
      </w:pPr>
      <w:rPr>
        <w:rFonts w:ascii="Courier New" w:hAnsi="Courier New" w:cs="Courier New" w:hint="default"/>
      </w:rPr>
    </w:lvl>
    <w:lvl w:ilvl="5" w:tplc="7982F508" w:tentative="1">
      <w:start w:val="1"/>
      <w:numFmt w:val="bullet"/>
      <w:lvlText w:val=""/>
      <w:lvlJc w:val="left"/>
      <w:pPr>
        <w:ind w:left="4741" w:hanging="360"/>
      </w:pPr>
      <w:rPr>
        <w:rFonts w:ascii="Wingdings" w:hAnsi="Wingdings" w:hint="default"/>
      </w:rPr>
    </w:lvl>
    <w:lvl w:ilvl="6" w:tplc="BEC410A0" w:tentative="1">
      <w:start w:val="1"/>
      <w:numFmt w:val="bullet"/>
      <w:lvlText w:val=""/>
      <w:lvlJc w:val="left"/>
      <w:pPr>
        <w:ind w:left="5461" w:hanging="360"/>
      </w:pPr>
      <w:rPr>
        <w:rFonts w:ascii="Symbol" w:hAnsi="Symbol" w:hint="default"/>
      </w:rPr>
    </w:lvl>
    <w:lvl w:ilvl="7" w:tplc="3BC20472" w:tentative="1">
      <w:start w:val="1"/>
      <w:numFmt w:val="bullet"/>
      <w:lvlText w:val="o"/>
      <w:lvlJc w:val="left"/>
      <w:pPr>
        <w:ind w:left="6181" w:hanging="360"/>
      </w:pPr>
      <w:rPr>
        <w:rFonts w:ascii="Courier New" w:hAnsi="Courier New" w:cs="Courier New" w:hint="default"/>
      </w:rPr>
    </w:lvl>
    <w:lvl w:ilvl="8" w:tplc="E01073CC" w:tentative="1">
      <w:start w:val="1"/>
      <w:numFmt w:val="bullet"/>
      <w:lvlText w:val=""/>
      <w:lvlJc w:val="left"/>
      <w:pPr>
        <w:ind w:left="6901" w:hanging="360"/>
      </w:pPr>
      <w:rPr>
        <w:rFonts w:ascii="Wingdings" w:hAnsi="Wingdings" w:hint="default"/>
      </w:rPr>
    </w:lvl>
  </w:abstractNum>
  <w:abstractNum w:abstractNumId="10" w15:restartNumberingAfterBreak="0">
    <w:nsid w:val="53EC42E2"/>
    <w:multiLevelType w:val="hybridMultilevel"/>
    <w:tmpl w:val="37ECB20A"/>
    <w:lvl w:ilvl="0" w:tplc="BB682B16">
      <w:start w:val="1"/>
      <w:numFmt w:val="bullet"/>
      <w:lvlText w:val=""/>
      <w:lvlJc w:val="left"/>
      <w:pPr>
        <w:ind w:left="720" w:hanging="360"/>
      </w:pPr>
      <w:rPr>
        <w:rFonts w:ascii="Symbol" w:hAnsi="Symbol" w:hint="default"/>
        <w:color w:val="auto"/>
      </w:rPr>
    </w:lvl>
    <w:lvl w:ilvl="1" w:tplc="6AD296C4" w:tentative="1">
      <w:start w:val="1"/>
      <w:numFmt w:val="bullet"/>
      <w:lvlText w:val="o"/>
      <w:lvlJc w:val="left"/>
      <w:pPr>
        <w:ind w:left="1440" w:hanging="360"/>
      </w:pPr>
      <w:rPr>
        <w:rFonts w:ascii="Courier New" w:hAnsi="Courier New" w:cs="Courier New" w:hint="default"/>
      </w:rPr>
    </w:lvl>
    <w:lvl w:ilvl="2" w:tplc="7A42A404" w:tentative="1">
      <w:start w:val="1"/>
      <w:numFmt w:val="bullet"/>
      <w:lvlText w:val=""/>
      <w:lvlJc w:val="left"/>
      <w:pPr>
        <w:ind w:left="2160" w:hanging="360"/>
      </w:pPr>
      <w:rPr>
        <w:rFonts w:ascii="Wingdings" w:hAnsi="Wingdings" w:hint="default"/>
      </w:rPr>
    </w:lvl>
    <w:lvl w:ilvl="3" w:tplc="BEB486E0" w:tentative="1">
      <w:start w:val="1"/>
      <w:numFmt w:val="bullet"/>
      <w:lvlText w:val=""/>
      <w:lvlJc w:val="left"/>
      <w:pPr>
        <w:ind w:left="2880" w:hanging="360"/>
      </w:pPr>
      <w:rPr>
        <w:rFonts w:ascii="Symbol" w:hAnsi="Symbol" w:hint="default"/>
      </w:rPr>
    </w:lvl>
    <w:lvl w:ilvl="4" w:tplc="DCA2B3AC" w:tentative="1">
      <w:start w:val="1"/>
      <w:numFmt w:val="bullet"/>
      <w:lvlText w:val="o"/>
      <w:lvlJc w:val="left"/>
      <w:pPr>
        <w:ind w:left="3600" w:hanging="360"/>
      </w:pPr>
      <w:rPr>
        <w:rFonts w:ascii="Courier New" w:hAnsi="Courier New" w:cs="Courier New" w:hint="default"/>
      </w:rPr>
    </w:lvl>
    <w:lvl w:ilvl="5" w:tplc="6E343DA2" w:tentative="1">
      <w:start w:val="1"/>
      <w:numFmt w:val="bullet"/>
      <w:lvlText w:val=""/>
      <w:lvlJc w:val="left"/>
      <w:pPr>
        <w:ind w:left="4320" w:hanging="360"/>
      </w:pPr>
      <w:rPr>
        <w:rFonts w:ascii="Wingdings" w:hAnsi="Wingdings" w:hint="default"/>
      </w:rPr>
    </w:lvl>
    <w:lvl w:ilvl="6" w:tplc="C20008E2" w:tentative="1">
      <w:start w:val="1"/>
      <w:numFmt w:val="bullet"/>
      <w:lvlText w:val=""/>
      <w:lvlJc w:val="left"/>
      <w:pPr>
        <w:ind w:left="5040" w:hanging="360"/>
      </w:pPr>
      <w:rPr>
        <w:rFonts w:ascii="Symbol" w:hAnsi="Symbol" w:hint="default"/>
      </w:rPr>
    </w:lvl>
    <w:lvl w:ilvl="7" w:tplc="FF74BDF4" w:tentative="1">
      <w:start w:val="1"/>
      <w:numFmt w:val="bullet"/>
      <w:lvlText w:val="o"/>
      <w:lvlJc w:val="left"/>
      <w:pPr>
        <w:ind w:left="5760" w:hanging="360"/>
      </w:pPr>
      <w:rPr>
        <w:rFonts w:ascii="Courier New" w:hAnsi="Courier New" w:cs="Courier New" w:hint="default"/>
      </w:rPr>
    </w:lvl>
    <w:lvl w:ilvl="8" w:tplc="C89A4756" w:tentative="1">
      <w:start w:val="1"/>
      <w:numFmt w:val="bullet"/>
      <w:lvlText w:val=""/>
      <w:lvlJc w:val="left"/>
      <w:pPr>
        <w:ind w:left="6480" w:hanging="360"/>
      </w:pPr>
      <w:rPr>
        <w:rFonts w:ascii="Wingdings" w:hAnsi="Wingdings" w:hint="default"/>
      </w:rPr>
    </w:lvl>
  </w:abstractNum>
  <w:abstractNum w:abstractNumId="11" w15:restartNumberingAfterBreak="0">
    <w:nsid w:val="56D14F8B"/>
    <w:multiLevelType w:val="hybridMultilevel"/>
    <w:tmpl w:val="BFF6FB72"/>
    <w:lvl w:ilvl="0" w:tplc="1E809A2A">
      <w:start w:val="1"/>
      <w:numFmt w:val="bullet"/>
      <w:lvlText w:val=""/>
      <w:lvlJc w:val="left"/>
      <w:pPr>
        <w:ind w:left="1440" w:hanging="360"/>
      </w:pPr>
      <w:rPr>
        <w:rFonts w:ascii="Wingdings 3" w:hAnsi="Wingdings 3" w:hint="default"/>
      </w:rPr>
    </w:lvl>
    <w:lvl w:ilvl="1" w:tplc="AB3801F0" w:tentative="1">
      <w:start w:val="1"/>
      <w:numFmt w:val="bullet"/>
      <w:lvlText w:val="o"/>
      <w:lvlJc w:val="left"/>
      <w:pPr>
        <w:ind w:left="2160" w:hanging="360"/>
      </w:pPr>
      <w:rPr>
        <w:rFonts w:ascii="Courier New" w:hAnsi="Courier New" w:cs="Courier New" w:hint="default"/>
      </w:rPr>
    </w:lvl>
    <w:lvl w:ilvl="2" w:tplc="A65481EA" w:tentative="1">
      <w:start w:val="1"/>
      <w:numFmt w:val="bullet"/>
      <w:lvlText w:val=""/>
      <w:lvlJc w:val="left"/>
      <w:pPr>
        <w:ind w:left="2880" w:hanging="360"/>
      </w:pPr>
      <w:rPr>
        <w:rFonts w:ascii="Wingdings" w:hAnsi="Wingdings" w:hint="default"/>
      </w:rPr>
    </w:lvl>
    <w:lvl w:ilvl="3" w:tplc="5930079C" w:tentative="1">
      <w:start w:val="1"/>
      <w:numFmt w:val="bullet"/>
      <w:lvlText w:val=""/>
      <w:lvlJc w:val="left"/>
      <w:pPr>
        <w:ind w:left="3600" w:hanging="360"/>
      </w:pPr>
      <w:rPr>
        <w:rFonts w:ascii="Symbol" w:hAnsi="Symbol" w:hint="default"/>
      </w:rPr>
    </w:lvl>
    <w:lvl w:ilvl="4" w:tplc="2C46FF20" w:tentative="1">
      <w:start w:val="1"/>
      <w:numFmt w:val="bullet"/>
      <w:lvlText w:val="o"/>
      <w:lvlJc w:val="left"/>
      <w:pPr>
        <w:ind w:left="4320" w:hanging="360"/>
      </w:pPr>
      <w:rPr>
        <w:rFonts w:ascii="Courier New" w:hAnsi="Courier New" w:cs="Courier New" w:hint="default"/>
      </w:rPr>
    </w:lvl>
    <w:lvl w:ilvl="5" w:tplc="14B47F46" w:tentative="1">
      <w:start w:val="1"/>
      <w:numFmt w:val="bullet"/>
      <w:lvlText w:val=""/>
      <w:lvlJc w:val="left"/>
      <w:pPr>
        <w:ind w:left="5040" w:hanging="360"/>
      </w:pPr>
      <w:rPr>
        <w:rFonts w:ascii="Wingdings" w:hAnsi="Wingdings" w:hint="default"/>
      </w:rPr>
    </w:lvl>
    <w:lvl w:ilvl="6" w:tplc="129077D0" w:tentative="1">
      <w:start w:val="1"/>
      <w:numFmt w:val="bullet"/>
      <w:lvlText w:val=""/>
      <w:lvlJc w:val="left"/>
      <w:pPr>
        <w:ind w:left="5760" w:hanging="360"/>
      </w:pPr>
      <w:rPr>
        <w:rFonts w:ascii="Symbol" w:hAnsi="Symbol" w:hint="default"/>
      </w:rPr>
    </w:lvl>
    <w:lvl w:ilvl="7" w:tplc="E1342480" w:tentative="1">
      <w:start w:val="1"/>
      <w:numFmt w:val="bullet"/>
      <w:lvlText w:val="o"/>
      <w:lvlJc w:val="left"/>
      <w:pPr>
        <w:ind w:left="6480" w:hanging="360"/>
      </w:pPr>
      <w:rPr>
        <w:rFonts w:ascii="Courier New" w:hAnsi="Courier New" w:cs="Courier New" w:hint="default"/>
      </w:rPr>
    </w:lvl>
    <w:lvl w:ilvl="8" w:tplc="A0DE07E6" w:tentative="1">
      <w:start w:val="1"/>
      <w:numFmt w:val="bullet"/>
      <w:lvlText w:val=""/>
      <w:lvlJc w:val="left"/>
      <w:pPr>
        <w:ind w:left="7200" w:hanging="360"/>
      </w:pPr>
      <w:rPr>
        <w:rFonts w:ascii="Wingdings" w:hAnsi="Wingdings" w:hint="default"/>
      </w:rPr>
    </w:lvl>
  </w:abstractNum>
  <w:abstractNum w:abstractNumId="12" w15:restartNumberingAfterBreak="0">
    <w:nsid w:val="597811DD"/>
    <w:multiLevelType w:val="hybridMultilevel"/>
    <w:tmpl w:val="FA5C2D58"/>
    <w:lvl w:ilvl="0" w:tplc="D65E6DF6">
      <w:start w:val="1"/>
      <w:numFmt w:val="decimal"/>
      <w:lvlText w:val="%1."/>
      <w:lvlJc w:val="left"/>
      <w:pPr>
        <w:ind w:left="720" w:hanging="360"/>
      </w:pPr>
    </w:lvl>
    <w:lvl w:ilvl="1" w:tplc="0D32A1C2" w:tentative="1">
      <w:start w:val="1"/>
      <w:numFmt w:val="lowerLetter"/>
      <w:lvlText w:val="%2."/>
      <w:lvlJc w:val="left"/>
      <w:pPr>
        <w:ind w:left="1440" w:hanging="360"/>
      </w:pPr>
    </w:lvl>
    <w:lvl w:ilvl="2" w:tplc="0964B0F2" w:tentative="1">
      <w:start w:val="1"/>
      <w:numFmt w:val="lowerRoman"/>
      <w:lvlText w:val="%3."/>
      <w:lvlJc w:val="right"/>
      <w:pPr>
        <w:ind w:left="2160" w:hanging="180"/>
      </w:pPr>
    </w:lvl>
    <w:lvl w:ilvl="3" w:tplc="D7AEEA0C" w:tentative="1">
      <w:start w:val="1"/>
      <w:numFmt w:val="decimal"/>
      <w:lvlText w:val="%4."/>
      <w:lvlJc w:val="left"/>
      <w:pPr>
        <w:ind w:left="2880" w:hanging="360"/>
      </w:pPr>
    </w:lvl>
    <w:lvl w:ilvl="4" w:tplc="68D06E2E" w:tentative="1">
      <w:start w:val="1"/>
      <w:numFmt w:val="lowerLetter"/>
      <w:lvlText w:val="%5."/>
      <w:lvlJc w:val="left"/>
      <w:pPr>
        <w:ind w:left="3600" w:hanging="360"/>
      </w:pPr>
    </w:lvl>
    <w:lvl w:ilvl="5" w:tplc="4398A062" w:tentative="1">
      <w:start w:val="1"/>
      <w:numFmt w:val="lowerRoman"/>
      <w:lvlText w:val="%6."/>
      <w:lvlJc w:val="right"/>
      <w:pPr>
        <w:ind w:left="4320" w:hanging="180"/>
      </w:pPr>
    </w:lvl>
    <w:lvl w:ilvl="6" w:tplc="56CE8C52" w:tentative="1">
      <w:start w:val="1"/>
      <w:numFmt w:val="decimal"/>
      <w:lvlText w:val="%7."/>
      <w:lvlJc w:val="left"/>
      <w:pPr>
        <w:ind w:left="5040" w:hanging="360"/>
      </w:pPr>
    </w:lvl>
    <w:lvl w:ilvl="7" w:tplc="8CF4F518" w:tentative="1">
      <w:start w:val="1"/>
      <w:numFmt w:val="lowerLetter"/>
      <w:lvlText w:val="%8."/>
      <w:lvlJc w:val="left"/>
      <w:pPr>
        <w:ind w:left="5760" w:hanging="360"/>
      </w:pPr>
    </w:lvl>
    <w:lvl w:ilvl="8" w:tplc="26DE7D88" w:tentative="1">
      <w:start w:val="1"/>
      <w:numFmt w:val="lowerRoman"/>
      <w:lvlText w:val="%9."/>
      <w:lvlJc w:val="right"/>
      <w:pPr>
        <w:ind w:left="6480" w:hanging="180"/>
      </w:pPr>
    </w:lvl>
  </w:abstractNum>
  <w:abstractNum w:abstractNumId="13" w15:restartNumberingAfterBreak="0">
    <w:nsid w:val="5C4D2CDE"/>
    <w:multiLevelType w:val="hybridMultilevel"/>
    <w:tmpl w:val="5B6827D0"/>
    <w:lvl w:ilvl="0" w:tplc="63D459A0">
      <w:start w:val="1"/>
      <w:numFmt w:val="bullet"/>
      <w:lvlText w:val=""/>
      <w:lvlJc w:val="left"/>
      <w:pPr>
        <w:ind w:left="720" w:hanging="360"/>
      </w:pPr>
      <w:rPr>
        <w:rFonts w:ascii="Symbol" w:hAnsi="Symbol" w:hint="default"/>
        <w:color w:val="7FC444"/>
      </w:rPr>
    </w:lvl>
    <w:lvl w:ilvl="1" w:tplc="EC88CC7A" w:tentative="1">
      <w:start w:val="1"/>
      <w:numFmt w:val="bullet"/>
      <w:lvlText w:val="o"/>
      <w:lvlJc w:val="left"/>
      <w:pPr>
        <w:ind w:left="1440" w:hanging="360"/>
      </w:pPr>
      <w:rPr>
        <w:rFonts w:ascii="Courier New" w:hAnsi="Courier New" w:cs="Courier New" w:hint="default"/>
      </w:rPr>
    </w:lvl>
    <w:lvl w:ilvl="2" w:tplc="1B5840B0" w:tentative="1">
      <w:start w:val="1"/>
      <w:numFmt w:val="bullet"/>
      <w:lvlText w:val=""/>
      <w:lvlJc w:val="left"/>
      <w:pPr>
        <w:ind w:left="2160" w:hanging="360"/>
      </w:pPr>
      <w:rPr>
        <w:rFonts w:ascii="Wingdings" w:hAnsi="Wingdings" w:hint="default"/>
      </w:rPr>
    </w:lvl>
    <w:lvl w:ilvl="3" w:tplc="34260A7C" w:tentative="1">
      <w:start w:val="1"/>
      <w:numFmt w:val="bullet"/>
      <w:lvlText w:val=""/>
      <w:lvlJc w:val="left"/>
      <w:pPr>
        <w:ind w:left="2880" w:hanging="360"/>
      </w:pPr>
      <w:rPr>
        <w:rFonts w:ascii="Symbol" w:hAnsi="Symbol" w:hint="default"/>
      </w:rPr>
    </w:lvl>
    <w:lvl w:ilvl="4" w:tplc="AF8AEBFA" w:tentative="1">
      <w:start w:val="1"/>
      <w:numFmt w:val="bullet"/>
      <w:lvlText w:val="o"/>
      <w:lvlJc w:val="left"/>
      <w:pPr>
        <w:ind w:left="3600" w:hanging="360"/>
      </w:pPr>
      <w:rPr>
        <w:rFonts w:ascii="Courier New" w:hAnsi="Courier New" w:cs="Courier New" w:hint="default"/>
      </w:rPr>
    </w:lvl>
    <w:lvl w:ilvl="5" w:tplc="6A281BE4" w:tentative="1">
      <w:start w:val="1"/>
      <w:numFmt w:val="bullet"/>
      <w:lvlText w:val=""/>
      <w:lvlJc w:val="left"/>
      <w:pPr>
        <w:ind w:left="4320" w:hanging="360"/>
      </w:pPr>
      <w:rPr>
        <w:rFonts w:ascii="Wingdings" w:hAnsi="Wingdings" w:hint="default"/>
      </w:rPr>
    </w:lvl>
    <w:lvl w:ilvl="6" w:tplc="736C5056" w:tentative="1">
      <w:start w:val="1"/>
      <w:numFmt w:val="bullet"/>
      <w:lvlText w:val=""/>
      <w:lvlJc w:val="left"/>
      <w:pPr>
        <w:ind w:left="5040" w:hanging="360"/>
      </w:pPr>
      <w:rPr>
        <w:rFonts w:ascii="Symbol" w:hAnsi="Symbol" w:hint="default"/>
      </w:rPr>
    </w:lvl>
    <w:lvl w:ilvl="7" w:tplc="53E03CB2" w:tentative="1">
      <w:start w:val="1"/>
      <w:numFmt w:val="bullet"/>
      <w:lvlText w:val="o"/>
      <w:lvlJc w:val="left"/>
      <w:pPr>
        <w:ind w:left="5760" w:hanging="360"/>
      </w:pPr>
      <w:rPr>
        <w:rFonts w:ascii="Courier New" w:hAnsi="Courier New" w:cs="Courier New" w:hint="default"/>
      </w:rPr>
    </w:lvl>
    <w:lvl w:ilvl="8" w:tplc="F48C6506" w:tentative="1">
      <w:start w:val="1"/>
      <w:numFmt w:val="bullet"/>
      <w:lvlText w:val=""/>
      <w:lvlJc w:val="left"/>
      <w:pPr>
        <w:ind w:left="6480" w:hanging="360"/>
      </w:pPr>
      <w:rPr>
        <w:rFonts w:ascii="Wingdings" w:hAnsi="Wingdings" w:hint="default"/>
      </w:rPr>
    </w:lvl>
  </w:abstractNum>
  <w:abstractNum w:abstractNumId="14" w15:restartNumberingAfterBreak="0">
    <w:nsid w:val="5EBF00E5"/>
    <w:multiLevelType w:val="hybridMultilevel"/>
    <w:tmpl w:val="D636561A"/>
    <w:lvl w:ilvl="0" w:tplc="3BFA5AFE">
      <w:start w:val="1"/>
      <w:numFmt w:val="decimal"/>
      <w:lvlText w:val="%1."/>
      <w:lvlJc w:val="left"/>
      <w:pPr>
        <w:ind w:left="360" w:hanging="360"/>
      </w:pPr>
      <w:rPr>
        <w:rFonts w:ascii="Arial" w:hAnsi="Arial" w:hint="default"/>
        <w:b w:val="0"/>
        <w:bCs w:val="0"/>
        <w:i w:val="0"/>
        <w:color w:val="auto"/>
        <w:sz w:val="22"/>
        <w:szCs w:val="22"/>
      </w:rPr>
    </w:lvl>
    <w:lvl w:ilvl="1" w:tplc="55AE5E60" w:tentative="1">
      <w:start w:val="1"/>
      <w:numFmt w:val="lowerLetter"/>
      <w:lvlText w:val="%2."/>
      <w:lvlJc w:val="left"/>
      <w:pPr>
        <w:ind w:left="1080" w:hanging="360"/>
      </w:pPr>
    </w:lvl>
    <w:lvl w:ilvl="2" w:tplc="15A244BE" w:tentative="1">
      <w:start w:val="1"/>
      <w:numFmt w:val="lowerRoman"/>
      <w:lvlText w:val="%3."/>
      <w:lvlJc w:val="right"/>
      <w:pPr>
        <w:ind w:left="1800" w:hanging="180"/>
      </w:pPr>
    </w:lvl>
    <w:lvl w:ilvl="3" w:tplc="AFDABCCA" w:tentative="1">
      <w:start w:val="1"/>
      <w:numFmt w:val="decimal"/>
      <w:lvlText w:val="%4."/>
      <w:lvlJc w:val="left"/>
      <w:pPr>
        <w:ind w:left="2520" w:hanging="360"/>
      </w:pPr>
    </w:lvl>
    <w:lvl w:ilvl="4" w:tplc="4C5CC0F8" w:tentative="1">
      <w:start w:val="1"/>
      <w:numFmt w:val="lowerLetter"/>
      <w:lvlText w:val="%5."/>
      <w:lvlJc w:val="left"/>
      <w:pPr>
        <w:ind w:left="3240" w:hanging="360"/>
      </w:pPr>
    </w:lvl>
    <w:lvl w:ilvl="5" w:tplc="967EFFD2" w:tentative="1">
      <w:start w:val="1"/>
      <w:numFmt w:val="lowerRoman"/>
      <w:lvlText w:val="%6."/>
      <w:lvlJc w:val="right"/>
      <w:pPr>
        <w:ind w:left="3960" w:hanging="180"/>
      </w:pPr>
    </w:lvl>
    <w:lvl w:ilvl="6" w:tplc="C14409F4" w:tentative="1">
      <w:start w:val="1"/>
      <w:numFmt w:val="decimal"/>
      <w:lvlText w:val="%7."/>
      <w:lvlJc w:val="left"/>
      <w:pPr>
        <w:ind w:left="4680" w:hanging="360"/>
      </w:pPr>
    </w:lvl>
    <w:lvl w:ilvl="7" w:tplc="2604C08C" w:tentative="1">
      <w:start w:val="1"/>
      <w:numFmt w:val="lowerLetter"/>
      <w:lvlText w:val="%8."/>
      <w:lvlJc w:val="left"/>
      <w:pPr>
        <w:ind w:left="5400" w:hanging="360"/>
      </w:pPr>
    </w:lvl>
    <w:lvl w:ilvl="8" w:tplc="5E8A3D3C" w:tentative="1">
      <w:start w:val="1"/>
      <w:numFmt w:val="lowerRoman"/>
      <w:lvlText w:val="%9."/>
      <w:lvlJc w:val="right"/>
      <w:pPr>
        <w:ind w:left="6120" w:hanging="180"/>
      </w:pPr>
    </w:lvl>
  </w:abstractNum>
  <w:abstractNum w:abstractNumId="15" w15:restartNumberingAfterBreak="0">
    <w:nsid w:val="687524EC"/>
    <w:multiLevelType w:val="hybridMultilevel"/>
    <w:tmpl w:val="C83AE318"/>
    <w:lvl w:ilvl="0" w:tplc="2110E3C6">
      <w:start w:val="1"/>
      <w:numFmt w:val="bullet"/>
      <w:lvlText w:val=""/>
      <w:lvlJc w:val="left"/>
      <w:pPr>
        <w:ind w:left="720" w:hanging="360"/>
      </w:pPr>
      <w:rPr>
        <w:rFonts w:ascii="Symbol" w:hAnsi="Symbol" w:hint="default"/>
        <w:color w:val="7FC444"/>
      </w:rPr>
    </w:lvl>
    <w:lvl w:ilvl="1" w:tplc="DF5C7D90" w:tentative="1">
      <w:start w:val="1"/>
      <w:numFmt w:val="bullet"/>
      <w:lvlText w:val="o"/>
      <w:lvlJc w:val="left"/>
      <w:pPr>
        <w:ind w:left="1440" w:hanging="360"/>
      </w:pPr>
      <w:rPr>
        <w:rFonts w:ascii="Courier New" w:hAnsi="Courier New" w:cs="Courier New" w:hint="default"/>
      </w:rPr>
    </w:lvl>
    <w:lvl w:ilvl="2" w:tplc="90045F36" w:tentative="1">
      <w:start w:val="1"/>
      <w:numFmt w:val="bullet"/>
      <w:lvlText w:val=""/>
      <w:lvlJc w:val="left"/>
      <w:pPr>
        <w:ind w:left="2160" w:hanging="360"/>
      </w:pPr>
      <w:rPr>
        <w:rFonts w:ascii="Wingdings" w:hAnsi="Wingdings" w:hint="default"/>
      </w:rPr>
    </w:lvl>
    <w:lvl w:ilvl="3" w:tplc="F3E08464" w:tentative="1">
      <w:start w:val="1"/>
      <w:numFmt w:val="bullet"/>
      <w:lvlText w:val=""/>
      <w:lvlJc w:val="left"/>
      <w:pPr>
        <w:ind w:left="2880" w:hanging="360"/>
      </w:pPr>
      <w:rPr>
        <w:rFonts w:ascii="Symbol" w:hAnsi="Symbol" w:hint="default"/>
      </w:rPr>
    </w:lvl>
    <w:lvl w:ilvl="4" w:tplc="84E49B2A" w:tentative="1">
      <w:start w:val="1"/>
      <w:numFmt w:val="bullet"/>
      <w:lvlText w:val="o"/>
      <w:lvlJc w:val="left"/>
      <w:pPr>
        <w:ind w:left="3600" w:hanging="360"/>
      </w:pPr>
      <w:rPr>
        <w:rFonts w:ascii="Courier New" w:hAnsi="Courier New" w:cs="Courier New" w:hint="default"/>
      </w:rPr>
    </w:lvl>
    <w:lvl w:ilvl="5" w:tplc="1EE0E8D2" w:tentative="1">
      <w:start w:val="1"/>
      <w:numFmt w:val="bullet"/>
      <w:lvlText w:val=""/>
      <w:lvlJc w:val="left"/>
      <w:pPr>
        <w:ind w:left="4320" w:hanging="360"/>
      </w:pPr>
      <w:rPr>
        <w:rFonts w:ascii="Wingdings" w:hAnsi="Wingdings" w:hint="default"/>
      </w:rPr>
    </w:lvl>
    <w:lvl w:ilvl="6" w:tplc="7E8C57F6" w:tentative="1">
      <w:start w:val="1"/>
      <w:numFmt w:val="bullet"/>
      <w:lvlText w:val=""/>
      <w:lvlJc w:val="left"/>
      <w:pPr>
        <w:ind w:left="5040" w:hanging="360"/>
      </w:pPr>
      <w:rPr>
        <w:rFonts w:ascii="Symbol" w:hAnsi="Symbol" w:hint="default"/>
      </w:rPr>
    </w:lvl>
    <w:lvl w:ilvl="7" w:tplc="11066AE0" w:tentative="1">
      <w:start w:val="1"/>
      <w:numFmt w:val="bullet"/>
      <w:lvlText w:val="o"/>
      <w:lvlJc w:val="left"/>
      <w:pPr>
        <w:ind w:left="5760" w:hanging="360"/>
      </w:pPr>
      <w:rPr>
        <w:rFonts w:ascii="Courier New" w:hAnsi="Courier New" w:cs="Courier New" w:hint="default"/>
      </w:rPr>
    </w:lvl>
    <w:lvl w:ilvl="8" w:tplc="9A1EE1FC" w:tentative="1">
      <w:start w:val="1"/>
      <w:numFmt w:val="bullet"/>
      <w:lvlText w:val=""/>
      <w:lvlJc w:val="left"/>
      <w:pPr>
        <w:ind w:left="6480" w:hanging="360"/>
      </w:pPr>
      <w:rPr>
        <w:rFonts w:ascii="Wingdings" w:hAnsi="Wingdings" w:hint="default"/>
      </w:rPr>
    </w:lvl>
  </w:abstractNum>
  <w:abstractNum w:abstractNumId="16" w15:restartNumberingAfterBreak="0">
    <w:nsid w:val="6E981066"/>
    <w:multiLevelType w:val="hybridMultilevel"/>
    <w:tmpl w:val="29A03522"/>
    <w:lvl w:ilvl="0" w:tplc="5C2440D4">
      <w:start w:val="1"/>
      <w:numFmt w:val="bullet"/>
      <w:lvlText w:val=""/>
      <w:lvlJc w:val="left"/>
      <w:pPr>
        <w:ind w:left="720" w:hanging="360"/>
      </w:pPr>
      <w:rPr>
        <w:rFonts w:ascii="Symbol" w:hAnsi="Symbol" w:hint="default"/>
        <w:color w:val="7FC444"/>
      </w:rPr>
    </w:lvl>
    <w:lvl w:ilvl="1" w:tplc="6FA8D79C" w:tentative="1">
      <w:start w:val="1"/>
      <w:numFmt w:val="bullet"/>
      <w:lvlText w:val="o"/>
      <w:lvlJc w:val="left"/>
      <w:pPr>
        <w:ind w:left="1440" w:hanging="360"/>
      </w:pPr>
      <w:rPr>
        <w:rFonts w:ascii="Courier New" w:hAnsi="Courier New" w:cs="Courier New" w:hint="default"/>
      </w:rPr>
    </w:lvl>
    <w:lvl w:ilvl="2" w:tplc="3B30FD68" w:tentative="1">
      <w:start w:val="1"/>
      <w:numFmt w:val="bullet"/>
      <w:lvlText w:val=""/>
      <w:lvlJc w:val="left"/>
      <w:pPr>
        <w:ind w:left="2160" w:hanging="360"/>
      </w:pPr>
      <w:rPr>
        <w:rFonts w:ascii="Wingdings" w:hAnsi="Wingdings" w:hint="default"/>
      </w:rPr>
    </w:lvl>
    <w:lvl w:ilvl="3" w:tplc="117E5470" w:tentative="1">
      <w:start w:val="1"/>
      <w:numFmt w:val="bullet"/>
      <w:lvlText w:val=""/>
      <w:lvlJc w:val="left"/>
      <w:pPr>
        <w:ind w:left="2880" w:hanging="360"/>
      </w:pPr>
      <w:rPr>
        <w:rFonts w:ascii="Symbol" w:hAnsi="Symbol" w:hint="default"/>
      </w:rPr>
    </w:lvl>
    <w:lvl w:ilvl="4" w:tplc="A4885EFE" w:tentative="1">
      <w:start w:val="1"/>
      <w:numFmt w:val="bullet"/>
      <w:lvlText w:val="o"/>
      <w:lvlJc w:val="left"/>
      <w:pPr>
        <w:ind w:left="3600" w:hanging="360"/>
      </w:pPr>
      <w:rPr>
        <w:rFonts w:ascii="Courier New" w:hAnsi="Courier New" w:cs="Courier New" w:hint="default"/>
      </w:rPr>
    </w:lvl>
    <w:lvl w:ilvl="5" w:tplc="932EDC64" w:tentative="1">
      <w:start w:val="1"/>
      <w:numFmt w:val="bullet"/>
      <w:lvlText w:val=""/>
      <w:lvlJc w:val="left"/>
      <w:pPr>
        <w:ind w:left="4320" w:hanging="360"/>
      </w:pPr>
      <w:rPr>
        <w:rFonts w:ascii="Wingdings" w:hAnsi="Wingdings" w:hint="default"/>
      </w:rPr>
    </w:lvl>
    <w:lvl w:ilvl="6" w:tplc="65E22A24" w:tentative="1">
      <w:start w:val="1"/>
      <w:numFmt w:val="bullet"/>
      <w:lvlText w:val=""/>
      <w:lvlJc w:val="left"/>
      <w:pPr>
        <w:ind w:left="5040" w:hanging="360"/>
      </w:pPr>
      <w:rPr>
        <w:rFonts w:ascii="Symbol" w:hAnsi="Symbol" w:hint="default"/>
      </w:rPr>
    </w:lvl>
    <w:lvl w:ilvl="7" w:tplc="04A81984" w:tentative="1">
      <w:start w:val="1"/>
      <w:numFmt w:val="bullet"/>
      <w:lvlText w:val="o"/>
      <w:lvlJc w:val="left"/>
      <w:pPr>
        <w:ind w:left="5760" w:hanging="360"/>
      </w:pPr>
      <w:rPr>
        <w:rFonts w:ascii="Courier New" w:hAnsi="Courier New" w:cs="Courier New" w:hint="default"/>
      </w:rPr>
    </w:lvl>
    <w:lvl w:ilvl="8" w:tplc="29506B02" w:tentative="1">
      <w:start w:val="1"/>
      <w:numFmt w:val="bullet"/>
      <w:lvlText w:val=""/>
      <w:lvlJc w:val="left"/>
      <w:pPr>
        <w:ind w:left="6480" w:hanging="360"/>
      </w:pPr>
      <w:rPr>
        <w:rFonts w:ascii="Wingdings" w:hAnsi="Wingdings" w:hint="default"/>
      </w:rPr>
    </w:lvl>
  </w:abstractNum>
  <w:abstractNum w:abstractNumId="17" w15:restartNumberingAfterBreak="0">
    <w:nsid w:val="70C75857"/>
    <w:multiLevelType w:val="hybridMultilevel"/>
    <w:tmpl w:val="AD004CB2"/>
    <w:lvl w:ilvl="0" w:tplc="BAE6B996">
      <w:start w:val="1"/>
      <w:numFmt w:val="decimal"/>
      <w:lvlText w:val="%1."/>
      <w:lvlJc w:val="left"/>
      <w:pPr>
        <w:ind w:left="720" w:hanging="360"/>
      </w:pPr>
      <w:rPr>
        <w:rFonts w:hint="default"/>
        <w:b/>
        <w:bCs/>
        <w:i w:val="0"/>
        <w:iCs/>
        <w:color w:val="auto"/>
      </w:rPr>
    </w:lvl>
    <w:lvl w:ilvl="1" w:tplc="60FE4B0C" w:tentative="1">
      <w:start w:val="1"/>
      <w:numFmt w:val="lowerLetter"/>
      <w:lvlText w:val="%2."/>
      <w:lvlJc w:val="left"/>
      <w:pPr>
        <w:ind w:left="1440" w:hanging="360"/>
      </w:pPr>
    </w:lvl>
    <w:lvl w:ilvl="2" w:tplc="6CF2F458" w:tentative="1">
      <w:start w:val="1"/>
      <w:numFmt w:val="lowerRoman"/>
      <w:lvlText w:val="%3."/>
      <w:lvlJc w:val="right"/>
      <w:pPr>
        <w:ind w:left="2160" w:hanging="180"/>
      </w:pPr>
    </w:lvl>
    <w:lvl w:ilvl="3" w:tplc="9F562A2A" w:tentative="1">
      <w:start w:val="1"/>
      <w:numFmt w:val="decimal"/>
      <w:lvlText w:val="%4."/>
      <w:lvlJc w:val="left"/>
      <w:pPr>
        <w:ind w:left="2880" w:hanging="360"/>
      </w:pPr>
    </w:lvl>
    <w:lvl w:ilvl="4" w:tplc="DFCA0B2C" w:tentative="1">
      <w:start w:val="1"/>
      <w:numFmt w:val="lowerLetter"/>
      <w:lvlText w:val="%5."/>
      <w:lvlJc w:val="left"/>
      <w:pPr>
        <w:ind w:left="3600" w:hanging="360"/>
      </w:pPr>
    </w:lvl>
    <w:lvl w:ilvl="5" w:tplc="00F2C4A4" w:tentative="1">
      <w:start w:val="1"/>
      <w:numFmt w:val="lowerRoman"/>
      <w:lvlText w:val="%6."/>
      <w:lvlJc w:val="right"/>
      <w:pPr>
        <w:ind w:left="4320" w:hanging="180"/>
      </w:pPr>
    </w:lvl>
    <w:lvl w:ilvl="6" w:tplc="72D6E354" w:tentative="1">
      <w:start w:val="1"/>
      <w:numFmt w:val="decimal"/>
      <w:lvlText w:val="%7."/>
      <w:lvlJc w:val="left"/>
      <w:pPr>
        <w:ind w:left="5040" w:hanging="360"/>
      </w:pPr>
    </w:lvl>
    <w:lvl w:ilvl="7" w:tplc="91C26108" w:tentative="1">
      <w:start w:val="1"/>
      <w:numFmt w:val="lowerLetter"/>
      <w:lvlText w:val="%8."/>
      <w:lvlJc w:val="left"/>
      <w:pPr>
        <w:ind w:left="5760" w:hanging="360"/>
      </w:pPr>
    </w:lvl>
    <w:lvl w:ilvl="8" w:tplc="C5EC75CA" w:tentative="1">
      <w:start w:val="1"/>
      <w:numFmt w:val="lowerRoman"/>
      <w:lvlText w:val="%9."/>
      <w:lvlJc w:val="right"/>
      <w:pPr>
        <w:ind w:left="6480" w:hanging="180"/>
      </w:pPr>
    </w:lvl>
  </w:abstractNum>
  <w:abstractNum w:abstractNumId="18" w15:restartNumberingAfterBreak="0">
    <w:nsid w:val="71CD0F35"/>
    <w:multiLevelType w:val="hybridMultilevel"/>
    <w:tmpl w:val="3092AD06"/>
    <w:lvl w:ilvl="0" w:tplc="8D963BF2">
      <w:start w:val="1"/>
      <w:numFmt w:val="bullet"/>
      <w:lvlText w:val=""/>
      <w:lvlJc w:val="left"/>
      <w:pPr>
        <w:ind w:left="780" w:hanging="360"/>
      </w:pPr>
      <w:rPr>
        <w:rFonts w:ascii="Symbol" w:hAnsi="Symbol" w:hint="default"/>
      </w:rPr>
    </w:lvl>
    <w:lvl w:ilvl="1" w:tplc="1A28D01C" w:tentative="1">
      <w:start w:val="1"/>
      <w:numFmt w:val="bullet"/>
      <w:lvlText w:val="o"/>
      <w:lvlJc w:val="left"/>
      <w:pPr>
        <w:ind w:left="1500" w:hanging="360"/>
      </w:pPr>
      <w:rPr>
        <w:rFonts w:ascii="Courier New" w:hAnsi="Courier New" w:cs="Courier New" w:hint="default"/>
      </w:rPr>
    </w:lvl>
    <w:lvl w:ilvl="2" w:tplc="6EBCAFC2" w:tentative="1">
      <w:start w:val="1"/>
      <w:numFmt w:val="bullet"/>
      <w:lvlText w:val=""/>
      <w:lvlJc w:val="left"/>
      <w:pPr>
        <w:ind w:left="2220" w:hanging="360"/>
      </w:pPr>
      <w:rPr>
        <w:rFonts w:ascii="Wingdings" w:hAnsi="Wingdings" w:hint="default"/>
      </w:rPr>
    </w:lvl>
    <w:lvl w:ilvl="3" w:tplc="4F144346" w:tentative="1">
      <w:start w:val="1"/>
      <w:numFmt w:val="bullet"/>
      <w:lvlText w:val=""/>
      <w:lvlJc w:val="left"/>
      <w:pPr>
        <w:ind w:left="2940" w:hanging="360"/>
      </w:pPr>
      <w:rPr>
        <w:rFonts w:ascii="Symbol" w:hAnsi="Symbol" w:hint="default"/>
      </w:rPr>
    </w:lvl>
    <w:lvl w:ilvl="4" w:tplc="23B40280" w:tentative="1">
      <w:start w:val="1"/>
      <w:numFmt w:val="bullet"/>
      <w:lvlText w:val="o"/>
      <w:lvlJc w:val="left"/>
      <w:pPr>
        <w:ind w:left="3660" w:hanging="360"/>
      </w:pPr>
      <w:rPr>
        <w:rFonts w:ascii="Courier New" w:hAnsi="Courier New" w:cs="Courier New" w:hint="default"/>
      </w:rPr>
    </w:lvl>
    <w:lvl w:ilvl="5" w:tplc="413048F0" w:tentative="1">
      <w:start w:val="1"/>
      <w:numFmt w:val="bullet"/>
      <w:lvlText w:val=""/>
      <w:lvlJc w:val="left"/>
      <w:pPr>
        <w:ind w:left="4380" w:hanging="360"/>
      </w:pPr>
      <w:rPr>
        <w:rFonts w:ascii="Wingdings" w:hAnsi="Wingdings" w:hint="default"/>
      </w:rPr>
    </w:lvl>
    <w:lvl w:ilvl="6" w:tplc="792E7094" w:tentative="1">
      <w:start w:val="1"/>
      <w:numFmt w:val="bullet"/>
      <w:lvlText w:val=""/>
      <w:lvlJc w:val="left"/>
      <w:pPr>
        <w:ind w:left="5100" w:hanging="360"/>
      </w:pPr>
      <w:rPr>
        <w:rFonts w:ascii="Symbol" w:hAnsi="Symbol" w:hint="default"/>
      </w:rPr>
    </w:lvl>
    <w:lvl w:ilvl="7" w:tplc="45D0A286" w:tentative="1">
      <w:start w:val="1"/>
      <w:numFmt w:val="bullet"/>
      <w:lvlText w:val="o"/>
      <w:lvlJc w:val="left"/>
      <w:pPr>
        <w:ind w:left="5820" w:hanging="360"/>
      </w:pPr>
      <w:rPr>
        <w:rFonts w:ascii="Courier New" w:hAnsi="Courier New" w:cs="Courier New" w:hint="default"/>
      </w:rPr>
    </w:lvl>
    <w:lvl w:ilvl="8" w:tplc="8E1E9B3C" w:tentative="1">
      <w:start w:val="1"/>
      <w:numFmt w:val="bullet"/>
      <w:lvlText w:val=""/>
      <w:lvlJc w:val="left"/>
      <w:pPr>
        <w:ind w:left="6540" w:hanging="360"/>
      </w:pPr>
      <w:rPr>
        <w:rFonts w:ascii="Wingdings" w:hAnsi="Wingdings" w:hint="default"/>
      </w:rPr>
    </w:lvl>
  </w:abstractNum>
  <w:abstractNum w:abstractNumId="19" w15:restartNumberingAfterBreak="0">
    <w:nsid w:val="7C6872A1"/>
    <w:multiLevelType w:val="hybridMultilevel"/>
    <w:tmpl w:val="700E460A"/>
    <w:lvl w:ilvl="0" w:tplc="E698F3B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DA2A23A0" w:tentative="1">
      <w:start w:val="1"/>
      <w:numFmt w:val="bullet"/>
      <w:lvlText w:val="o"/>
      <w:lvlJc w:val="left"/>
      <w:pPr>
        <w:tabs>
          <w:tab w:val="num" w:pos="1440"/>
        </w:tabs>
        <w:ind w:left="1440" w:hanging="360"/>
      </w:pPr>
      <w:rPr>
        <w:rFonts w:ascii="Courier New" w:hAnsi="Courier New" w:hint="default"/>
      </w:rPr>
    </w:lvl>
    <w:lvl w:ilvl="2" w:tplc="07D278D8" w:tentative="1">
      <w:start w:val="1"/>
      <w:numFmt w:val="bullet"/>
      <w:lvlText w:val=""/>
      <w:lvlJc w:val="left"/>
      <w:pPr>
        <w:tabs>
          <w:tab w:val="num" w:pos="2160"/>
        </w:tabs>
        <w:ind w:left="2160" w:hanging="360"/>
      </w:pPr>
      <w:rPr>
        <w:rFonts w:ascii="Wingdings" w:hAnsi="Wingdings" w:hint="default"/>
      </w:rPr>
    </w:lvl>
    <w:lvl w:ilvl="3" w:tplc="92D22412" w:tentative="1">
      <w:start w:val="1"/>
      <w:numFmt w:val="bullet"/>
      <w:lvlText w:val=""/>
      <w:lvlJc w:val="left"/>
      <w:pPr>
        <w:tabs>
          <w:tab w:val="num" w:pos="2880"/>
        </w:tabs>
        <w:ind w:left="2880" w:hanging="360"/>
      </w:pPr>
      <w:rPr>
        <w:rFonts w:ascii="Symbol" w:hAnsi="Symbol" w:hint="default"/>
      </w:rPr>
    </w:lvl>
    <w:lvl w:ilvl="4" w:tplc="52167FAA" w:tentative="1">
      <w:start w:val="1"/>
      <w:numFmt w:val="bullet"/>
      <w:lvlText w:val="o"/>
      <w:lvlJc w:val="left"/>
      <w:pPr>
        <w:tabs>
          <w:tab w:val="num" w:pos="3600"/>
        </w:tabs>
        <w:ind w:left="3600" w:hanging="360"/>
      </w:pPr>
      <w:rPr>
        <w:rFonts w:ascii="Courier New" w:hAnsi="Courier New" w:hint="default"/>
      </w:rPr>
    </w:lvl>
    <w:lvl w:ilvl="5" w:tplc="0BC83A34" w:tentative="1">
      <w:start w:val="1"/>
      <w:numFmt w:val="bullet"/>
      <w:lvlText w:val=""/>
      <w:lvlJc w:val="left"/>
      <w:pPr>
        <w:tabs>
          <w:tab w:val="num" w:pos="4320"/>
        </w:tabs>
        <w:ind w:left="4320" w:hanging="360"/>
      </w:pPr>
      <w:rPr>
        <w:rFonts w:ascii="Wingdings" w:hAnsi="Wingdings" w:hint="default"/>
      </w:rPr>
    </w:lvl>
    <w:lvl w:ilvl="6" w:tplc="5E3E092A" w:tentative="1">
      <w:start w:val="1"/>
      <w:numFmt w:val="bullet"/>
      <w:lvlText w:val=""/>
      <w:lvlJc w:val="left"/>
      <w:pPr>
        <w:tabs>
          <w:tab w:val="num" w:pos="5040"/>
        </w:tabs>
        <w:ind w:left="5040" w:hanging="360"/>
      </w:pPr>
      <w:rPr>
        <w:rFonts w:ascii="Symbol" w:hAnsi="Symbol" w:hint="default"/>
      </w:rPr>
    </w:lvl>
    <w:lvl w:ilvl="7" w:tplc="F5182C76" w:tentative="1">
      <w:start w:val="1"/>
      <w:numFmt w:val="bullet"/>
      <w:lvlText w:val="o"/>
      <w:lvlJc w:val="left"/>
      <w:pPr>
        <w:tabs>
          <w:tab w:val="num" w:pos="5760"/>
        </w:tabs>
        <w:ind w:left="5760" w:hanging="360"/>
      </w:pPr>
      <w:rPr>
        <w:rFonts w:ascii="Courier New" w:hAnsi="Courier New" w:hint="default"/>
      </w:rPr>
    </w:lvl>
    <w:lvl w:ilvl="8" w:tplc="FDB824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F54B2"/>
    <w:multiLevelType w:val="hybridMultilevel"/>
    <w:tmpl w:val="75B62ACE"/>
    <w:lvl w:ilvl="0" w:tplc="06EE2DBE">
      <w:start w:val="1"/>
      <w:numFmt w:val="decimal"/>
      <w:lvlText w:val="%1."/>
      <w:lvlJc w:val="left"/>
      <w:pPr>
        <w:ind w:left="720" w:hanging="360"/>
      </w:pPr>
    </w:lvl>
    <w:lvl w:ilvl="1" w:tplc="1CBA811E" w:tentative="1">
      <w:start w:val="1"/>
      <w:numFmt w:val="lowerLetter"/>
      <w:lvlText w:val="%2."/>
      <w:lvlJc w:val="left"/>
      <w:pPr>
        <w:ind w:left="1440" w:hanging="360"/>
      </w:pPr>
    </w:lvl>
    <w:lvl w:ilvl="2" w:tplc="DDA21104" w:tentative="1">
      <w:start w:val="1"/>
      <w:numFmt w:val="lowerRoman"/>
      <w:lvlText w:val="%3."/>
      <w:lvlJc w:val="right"/>
      <w:pPr>
        <w:ind w:left="2160" w:hanging="180"/>
      </w:pPr>
    </w:lvl>
    <w:lvl w:ilvl="3" w:tplc="27CAEBBC" w:tentative="1">
      <w:start w:val="1"/>
      <w:numFmt w:val="decimal"/>
      <w:lvlText w:val="%4."/>
      <w:lvlJc w:val="left"/>
      <w:pPr>
        <w:ind w:left="2880" w:hanging="360"/>
      </w:pPr>
    </w:lvl>
    <w:lvl w:ilvl="4" w:tplc="52EA7060" w:tentative="1">
      <w:start w:val="1"/>
      <w:numFmt w:val="lowerLetter"/>
      <w:lvlText w:val="%5."/>
      <w:lvlJc w:val="left"/>
      <w:pPr>
        <w:ind w:left="3600" w:hanging="360"/>
      </w:pPr>
    </w:lvl>
    <w:lvl w:ilvl="5" w:tplc="AF1A10A2" w:tentative="1">
      <w:start w:val="1"/>
      <w:numFmt w:val="lowerRoman"/>
      <w:lvlText w:val="%6."/>
      <w:lvlJc w:val="right"/>
      <w:pPr>
        <w:ind w:left="4320" w:hanging="180"/>
      </w:pPr>
    </w:lvl>
    <w:lvl w:ilvl="6" w:tplc="78B8C160" w:tentative="1">
      <w:start w:val="1"/>
      <w:numFmt w:val="decimal"/>
      <w:lvlText w:val="%7."/>
      <w:lvlJc w:val="left"/>
      <w:pPr>
        <w:ind w:left="5040" w:hanging="360"/>
      </w:pPr>
    </w:lvl>
    <w:lvl w:ilvl="7" w:tplc="2C5627C4" w:tentative="1">
      <w:start w:val="1"/>
      <w:numFmt w:val="lowerLetter"/>
      <w:lvlText w:val="%8."/>
      <w:lvlJc w:val="left"/>
      <w:pPr>
        <w:ind w:left="5760" w:hanging="360"/>
      </w:pPr>
    </w:lvl>
    <w:lvl w:ilvl="8" w:tplc="D30C0CC0" w:tentative="1">
      <w:start w:val="1"/>
      <w:numFmt w:val="lowerRoman"/>
      <w:lvlText w:val="%9."/>
      <w:lvlJc w:val="right"/>
      <w:pPr>
        <w:ind w:left="6480" w:hanging="180"/>
      </w:pPr>
    </w:lvl>
  </w:abstractNum>
  <w:num w:numId="1">
    <w:abstractNumId w:val="19"/>
  </w:num>
  <w:num w:numId="2">
    <w:abstractNumId w:val="16"/>
  </w:num>
  <w:num w:numId="3">
    <w:abstractNumId w:val="13"/>
  </w:num>
  <w:num w:numId="4">
    <w:abstractNumId w:val="15"/>
  </w:num>
  <w:num w:numId="5">
    <w:abstractNumId w:val="10"/>
  </w:num>
  <w:num w:numId="6">
    <w:abstractNumId w:val="3"/>
  </w:num>
  <w:num w:numId="7">
    <w:abstractNumId w:val="6"/>
  </w:num>
  <w:num w:numId="8">
    <w:abstractNumId w:val="14"/>
  </w:num>
  <w:num w:numId="9">
    <w:abstractNumId w:val="20"/>
  </w:num>
  <w:num w:numId="10">
    <w:abstractNumId w:val="12"/>
  </w:num>
  <w:num w:numId="11">
    <w:abstractNumId w:val="9"/>
  </w:num>
  <w:num w:numId="12">
    <w:abstractNumId w:val="2"/>
  </w:num>
  <w:num w:numId="13">
    <w:abstractNumId w:val="17"/>
  </w:num>
  <w:num w:numId="14">
    <w:abstractNumId w:val="1"/>
  </w:num>
  <w:num w:numId="15">
    <w:abstractNumId w:val="11"/>
  </w:num>
  <w:num w:numId="16">
    <w:abstractNumId w:val="0"/>
  </w:num>
  <w:num w:numId="17">
    <w:abstractNumId w:val="4"/>
  </w:num>
  <w:num w:numId="18">
    <w:abstractNumId w:val="8"/>
  </w:num>
  <w:num w:numId="19">
    <w:abstractNumId w:val="5"/>
  </w:num>
  <w:num w:numId="20">
    <w:abstractNumId w:val="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63"/>
    <w:rsid w:val="00066063"/>
    <w:rsid w:val="00414DEF"/>
    <w:rsid w:val="007474A4"/>
    <w:rsid w:val="007C00E0"/>
    <w:rsid w:val="0090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4B3CA"/>
  <w15:docId w15:val="{4105AD9E-A96F-4B61-BED1-095C4A6C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semiHidden/>
    <w:unhideWhenUsed/>
    <w:rsid w:val="00460D79"/>
    <w:rPr>
      <w:sz w:val="16"/>
      <w:szCs w:val="16"/>
    </w:rPr>
  </w:style>
  <w:style w:type="paragraph" w:styleId="CommentText">
    <w:name w:val="annotation text"/>
    <w:basedOn w:val="Normal"/>
    <w:link w:val="CommentTextChar"/>
    <w:uiPriority w:val="99"/>
    <w:unhideWhenUsed/>
    <w:rsid w:val="00460D79"/>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60D79"/>
    <w:rPr>
      <w:rFonts w:ascii="Arial" w:eastAsia="Times New Roman" w:hAnsi="Arial" w:cs="Times New Roman"/>
      <w:sz w:val="20"/>
      <w:szCs w:val="20"/>
      <w:lang w:eastAsia="en-GB"/>
    </w:rPr>
  </w:style>
  <w:style w:type="paragraph" w:styleId="BodyText2">
    <w:name w:val="Body Text 2"/>
    <w:basedOn w:val="Normal"/>
    <w:link w:val="BodyText2Char"/>
    <w:uiPriority w:val="99"/>
    <w:semiHidden/>
    <w:unhideWhenUsed/>
    <w:rsid w:val="00EE3D37"/>
    <w:pPr>
      <w:spacing w:after="120" w:line="480" w:lineRule="auto"/>
    </w:pPr>
  </w:style>
  <w:style w:type="character" w:customStyle="1" w:styleId="BodyText2Char">
    <w:name w:val="Body Text 2 Char"/>
    <w:basedOn w:val="DefaultParagraphFont"/>
    <w:link w:val="BodyText2"/>
    <w:uiPriority w:val="99"/>
    <w:semiHidden/>
    <w:rsid w:val="00EE3D37"/>
  </w:style>
  <w:style w:type="character" w:styleId="Hyperlink">
    <w:name w:val="Hyperlink"/>
    <w:basedOn w:val="DefaultParagraphFont"/>
    <w:uiPriority w:val="99"/>
    <w:unhideWhenUsed/>
    <w:rsid w:val="00826EB3"/>
    <w:rPr>
      <w:color w:val="0000FF" w:themeColor="hyperlink"/>
      <w:u w:val="single"/>
    </w:rPr>
  </w:style>
  <w:style w:type="character" w:customStyle="1" w:styleId="UnresolvedMention1">
    <w:name w:val="Unresolved Mention1"/>
    <w:basedOn w:val="DefaultParagraphFont"/>
    <w:uiPriority w:val="99"/>
    <w:rsid w:val="00201F8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8734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87342"/>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135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A57"/>
    <w:rPr>
      <w:sz w:val="20"/>
      <w:szCs w:val="20"/>
    </w:rPr>
  </w:style>
  <w:style w:type="character" w:styleId="FootnoteReference">
    <w:name w:val="footnote reference"/>
    <w:basedOn w:val="DefaultParagraphFont"/>
    <w:uiPriority w:val="99"/>
    <w:semiHidden/>
    <w:unhideWhenUsed/>
    <w:rsid w:val="00135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Howard.anthony@southribble.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mailto:Michael.johnson@southribbl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1371E5B-73EA-4722-9BA3-E8019BF1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4668</Words>
  <Characters>26611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5</cp:revision>
  <cp:lastPrinted>2014-03-21T13:56:00Z</cp:lastPrinted>
  <dcterms:created xsi:type="dcterms:W3CDTF">2021-11-08T11:16:00Z</dcterms:created>
  <dcterms:modified xsi:type="dcterms:W3CDTF">2021-11-08T11:21:00Z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Corporate Strategy Quarterly Performance Monitoring Report, Quarter Two 2021/22</vt:lpwstr>
  </property>
  <property fmtid="{D5CDD505-2E9C-101B-9397-08002B2CF9AE}" pid="4" name="LeadDirector">
    <vt:lpwstr/>
  </property>
  <property fmtid="{D5CDD505-2E9C-101B-9397-08002B2CF9AE}" pid="5" name="LeadMember">
    <vt:lpwstr/>
  </property>
  <property fmtid="{D5CDD505-2E9C-101B-9397-08002B2CF9AE}" pid="6" name="LeadOfficer">
    <vt:lpwstr/>
  </property>
  <property fmtid="{D5CDD505-2E9C-101B-9397-08002B2CF9AE}" pid="7" name="LeadOfficerEmail">
    <vt:lpwstr/>
  </property>
  <property fmtid="{D5CDD505-2E9C-101B-9397-08002B2CF9AE}" pid="8" name="LeadOfficerPost">
    <vt:lpwstr/>
  </property>
  <property fmtid="{D5CDD505-2E9C-101B-9397-08002B2CF9AE}" pid="9" name="MeetingDate">
    <vt:lpwstr>Monday, 15 November 2021</vt:lpwstr>
  </property>
  <property fmtid="{D5CDD505-2E9C-101B-9397-08002B2CF9AE}" pid="10" name="MeetingDateLegal">
    <vt:lpwstr>MeetingDateLegal</vt:lpwstr>
  </property>
</Properties>
</file>