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511E98" w14:paraId="608B5C5A" w14:textId="77777777" w:rsidTr="00D338A7">
        <w:trPr>
          <w:cantSplit/>
          <w:jc w:val="center"/>
        </w:trPr>
        <w:tc>
          <w:tcPr>
            <w:tcW w:w="2835" w:type="dxa"/>
            <w:shd w:val="clear" w:color="auto" w:fill="BFBFBF"/>
            <w:vAlign w:val="center"/>
          </w:tcPr>
          <w:p w14:paraId="608B5C57" w14:textId="77777777" w:rsidR="00D338A7" w:rsidRPr="00D4431F" w:rsidRDefault="009B0817" w:rsidP="00D338A7">
            <w:pPr>
              <w:spacing w:line="240" w:lineRule="auto"/>
              <w:jc w:val="center"/>
              <w:rPr>
                <w:rFonts w:cstheme="minorHAnsi"/>
                <w:b/>
                <w:bCs/>
              </w:rPr>
            </w:pPr>
            <w:bookmarkStart w:id="0" w:name="_Hlk75350991"/>
            <w:bookmarkStart w:id="1" w:name="_GoBack"/>
            <w:bookmarkEnd w:id="0"/>
            <w:bookmarkEnd w:id="1"/>
            <w:r>
              <w:rPr>
                <w:rFonts w:cstheme="minorHAnsi"/>
                <w:b/>
                <w:bCs/>
              </w:rPr>
              <w:t>Report of</w:t>
            </w:r>
          </w:p>
        </w:tc>
        <w:tc>
          <w:tcPr>
            <w:tcW w:w="4678" w:type="dxa"/>
            <w:shd w:val="clear" w:color="auto" w:fill="BFBFBF"/>
          </w:tcPr>
          <w:p w14:paraId="608B5C58" w14:textId="77777777" w:rsidR="00D338A7" w:rsidRDefault="009B0817" w:rsidP="00D338A7">
            <w:pPr>
              <w:spacing w:line="240" w:lineRule="auto"/>
              <w:jc w:val="center"/>
              <w:rPr>
                <w:rFonts w:cstheme="minorHAnsi"/>
                <w:b/>
                <w:bCs/>
              </w:rPr>
            </w:pPr>
            <w:r>
              <w:rPr>
                <w:rFonts w:cstheme="minorHAnsi"/>
                <w:b/>
                <w:bCs/>
              </w:rPr>
              <w:t>Meeting</w:t>
            </w:r>
          </w:p>
        </w:tc>
        <w:tc>
          <w:tcPr>
            <w:tcW w:w="2551" w:type="dxa"/>
            <w:shd w:val="clear" w:color="auto" w:fill="BFBFBF"/>
            <w:vAlign w:val="center"/>
          </w:tcPr>
          <w:p w14:paraId="608B5C59" w14:textId="77777777" w:rsidR="00D338A7" w:rsidRPr="00D4431F" w:rsidRDefault="009B0817" w:rsidP="00D338A7">
            <w:pPr>
              <w:spacing w:line="240" w:lineRule="auto"/>
              <w:jc w:val="center"/>
              <w:rPr>
                <w:rFonts w:cstheme="minorHAnsi"/>
                <w:b/>
                <w:bCs/>
              </w:rPr>
            </w:pPr>
            <w:r>
              <w:rPr>
                <w:rFonts w:cstheme="minorHAnsi"/>
                <w:b/>
                <w:bCs/>
              </w:rPr>
              <w:t>Date</w:t>
            </w:r>
          </w:p>
        </w:tc>
      </w:tr>
      <w:tr w:rsidR="00511E98" w14:paraId="608B5C63" w14:textId="77777777" w:rsidTr="00D338A7">
        <w:trPr>
          <w:cantSplit/>
          <w:trHeight w:val="942"/>
          <w:jc w:val="center"/>
        </w:trPr>
        <w:tc>
          <w:tcPr>
            <w:tcW w:w="2835" w:type="dxa"/>
            <w:vAlign w:val="center"/>
          </w:tcPr>
          <w:p w14:paraId="608B5C5B" w14:textId="77777777" w:rsidR="00D338A7" w:rsidRPr="00ED4FF1" w:rsidRDefault="009B0817" w:rsidP="00D338A7">
            <w:pPr>
              <w:spacing w:after="0"/>
              <w:jc w:val="center"/>
            </w:pPr>
            <w:r>
              <w:t>Deputy Chief Executive</w:t>
            </w:r>
          </w:p>
          <w:p w14:paraId="608B5C5C" w14:textId="77777777" w:rsidR="00D338A7" w:rsidRPr="00ED4FF1" w:rsidRDefault="009B0817" w:rsidP="00D338A7">
            <w:pPr>
              <w:jc w:val="center"/>
            </w:pPr>
            <w:r w:rsidRPr="00ED4FF1">
              <w:t xml:space="preserve">(Introduced by </w:t>
            </w:r>
            <w:r w:rsidRPr="00ED4FF1">
              <w:fldChar w:fldCharType="begin"/>
            </w:r>
            <w:r>
              <w:instrText xml:space="preserve"> DOCPROPERTY  LeadMember  \* MERGEFORMAT </w:instrText>
            </w:r>
            <w:r w:rsidRPr="00ED4FF1">
              <w:fldChar w:fldCharType="separate"/>
            </w:r>
            <w:r w:rsidRPr="00ED4FF1">
              <w:t>Leader of the Council and Cabinet Member (Strategy and Reform)</w:t>
            </w:r>
            <w:r w:rsidRPr="00ED4FF1">
              <w:fldChar w:fldCharType="end"/>
            </w:r>
          </w:p>
        </w:tc>
        <w:tc>
          <w:tcPr>
            <w:tcW w:w="4678" w:type="dxa"/>
            <w:vAlign w:val="center"/>
          </w:tcPr>
          <w:p w14:paraId="608B5C5E" w14:textId="77777777" w:rsidR="00D338A7" w:rsidRDefault="009B0817" w:rsidP="00D338A7">
            <w:pPr>
              <w:spacing w:line="240" w:lineRule="auto"/>
              <w:jc w:val="center"/>
              <w:rPr>
                <w:rFonts w:cstheme="minorHAnsi"/>
              </w:rPr>
            </w:pPr>
            <w:r>
              <w:rPr>
                <w:rFonts w:cstheme="minorHAnsi"/>
              </w:rPr>
              <w:t>Scrutiny Budget and Performance Panel</w:t>
            </w:r>
          </w:p>
          <w:p w14:paraId="608B5C5F" w14:textId="77777777" w:rsidR="00D338A7" w:rsidRPr="00ED4FF1" w:rsidRDefault="009B0817" w:rsidP="00D338A7">
            <w:pPr>
              <w:spacing w:line="240" w:lineRule="auto"/>
              <w:jc w:val="center"/>
              <w:rPr>
                <w:rFonts w:cstheme="minorHAnsi"/>
              </w:rPr>
            </w:pPr>
            <w:r>
              <w:rPr>
                <w:rFonts w:cstheme="minorHAnsi"/>
              </w:rPr>
              <w:t xml:space="preserve">Cabinet </w:t>
            </w:r>
          </w:p>
        </w:tc>
        <w:tc>
          <w:tcPr>
            <w:tcW w:w="2551" w:type="dxa"/>
            <w:vAlign w:val="center"/>
          </w:tcPr>
          <w:p w14:paraId="608B5C61" w14:textId="77777777" w:rsidR="00D338A7" w:rsidRDefault="009B0817" w:rsidP="00D338A7">
            <w:pPr>
              <w:spacing w:line="240" w:lineRule="auto"/>
              <w:jc w:val="center"/>
              <w:rPr>
                <w:rFonts w:cstheme="minorHAnsi"/>
              </w:rPr>
            </w:pPr>
            <w:r>
              <w:rPr>
                <w:rFonts w:cstheme="minorHAnsi"/>
              </w:rPr>
              <w:t>13</w:t>
            </w:r>
            <w:r w:rsidRPr="000E0F26">
              <w:rPr>
                <w:rFonts w:cstheme="minorHAnsi"/>
                <w:vertAlign w:val="superscript"/>
              </w:rPr>
              <w:t>th</w:t>
            </w:r>
            <w:r>
              <w:rPr>
                <w:rFonts w:cstheme="minorHAnsi"/>
              </w:rPr>
              <w:t xml:space="preserve"> September 2021</w:t>
            </w:r>
          </w:p>
          <w:p w14:paraId="608B5C62" w14:textId="77777777" w:rsidR="00D338A7" w:rsidRPr="00ED4FF1" w:rsidRDefault="009B0817" w:rsidP="00D338A7">
            <w:pPr>
              <w:spacing w:line="240" w:lineRule="auto"/>
              <w:jc w:val="center"/>
              <w:rPr>
                <w:rFonts w:cstheme="minorHAnsi"/>
              </w:rPr>
            </w:pPr>
            <w:r>
              <w:rPr>
                <w:rFonts w:cstheme="minorHAnsi"/>
              </w:rPr>
              <w:t>15</w:t>
            </w:r>
            <w:r w:rsidRPr="000E0F26">
              <w:rPr>
                <w:rFonts w:cstheme="minorHAnsi"/>
                <w:vertAlign w:val="superscript"/>
              </w:rPr>
              <w:t>th</w:t>
            </w:r>
            <w:r>
              <w:rPr>
                <w:rFonts w:cstheme="minorHAnsi"/>
              </w:rPr>
              <w:t xml:space="preserve"> September 2021</w:t>
            </w:r>
          </w:p>
        </w:tc>
      </w:tr>
    </w:tbl>
    <w:tbl>
      <w:tblPr>
        <w:tblpPr w:leftFromText="180" w:rightFromText="180" w:vertAnchor="page" w:horzAnchor="margin" w:tblpXSpec="center" w:tblpY="415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511E98" w14:paraId="608B5C67" w14:textId="77777777" w:rsidTr="00D338A7">
        <w:tc>
          <w:tcPr>
            <w:tcW w:w="5382" w:type="dxa"/>
            <w:shd w:val="clear" w:color="auto" w:fill="auto"/>
          </w:tcPr>
          <w:p w14:paraId="608B5C64" w14:textId="77777777" w:rsidR="00D338A7" w:rsidRPr="00D1305C" w:rsidRDefault="009B0817" w:rsidP="00D338A7">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608B5C65" w14:textId="77777777" w:rsidR="00D338A7" w:rsidRPr="00D1305C" w:rsidRDefault="009B0817" w:rsidP="00D338A7">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608B5C66" w14:textId="77777777" w:rsidR="00D338A7" w:rsidRPr="00284E95" w:rsidRDefault="00AC69EF" w:rsidP="00D338A7">
            <w:pPr>
              <w:spacing w:after="0"/>
              <w:rPr>
                <w:rFonts w:eastAsia="Times New Roman" w:cstheme="minorHAnsi"/>
                <w:bCs/>
                <w:iCs/>
                <w:color w:val="000000" w:themeColor="text1"/>
                <w:kern w:val="36"/>
                <w:lang w:eastAsia="en-GB"/>
              </w:rPr>
            </w:pPr>
          </w:p>
        </w:tc>
      </w:tr>
    </w:tbl>
    <w:tbl>
      <w:tblPr>
        <w:tblpPr w:leftFromText="180" w:rightFromText="180" w:vertAnchor="page" w:horzAnchor="margin" w:tblpXSpec="center" w:tblpY="4995"/>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511E98" w14:paraId="608B5C6B" w14:textId="77777777" w:rsidTr="00D338A7">
        <w:tc>
          <w:tcPr>
            <w:tcW w:w="5382" w:type="dxa"/>
            <w:shd w:val="clear" w:color="auto" w:fill="auto"/>
          </w:tcPr>
          <w:p w14:paraId="608B5C68" w14:textId="77777777" w:rsidR="00D338A7" w:rsidRPr="00D1305C" w:rsidRDefault="009B0817" w:rsidP="00D338A7">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608B5C69" w14:textId="77777777" w:rsidR="00D338A7" w:rsidRDefault="009B0817" w:rsidP="00D338A7">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608B5C6A" w14:textId="77777777" w:rsidR="00D338A7" w:rsidRPr="00284E95" w:rsidRDefault="00AC69EF" w:rsidP="00D338A7">
            <w:pPr>
              <w:spacing w:after="0"/>
              <w:rPr>
                <w:rFonts w:eastAsia="Times New Roman" w:cstheme="minorHAnsi"/>
                <w:bCs/>
                <w:color w:val="000000" w:themeColor="text1"/>
                <w:kern w:val="36"/>
                <w:lang w:eastAsia="en-GB"/>
              </w:rPr>
            </w:pPr>
          </w:p>
        </w:tc>
      </w:tr>
    </w:tbl>
    <w:p w14:paraId="608B5C6C" w14:textId="77777777" w:rsidR="00D338A7" w:rsidRDefault="009B0817" w:rsidP="00D338A7">
      <w:pPr>
        <w:spacing w:after="0"/>
      </w:pPr>
      <w:r>
        <w:rPr>
          <w:rFonts w:cstheme="minorHAnsi"/>
          <w:b/>
          <w:bCs/>
          <w:noProof/>
        </w:rPr>
        <w:drawing>
          <wp:anchor distT="0" distB="0" distL="114300" distR="114300" simplePos="0" relativeHeight="251658240" behindDoc="0" locked="0" layoutInCell="1" allowOverlap="1" wp14:anchorId="608B5ED8" wp14:editId="608B5ED9">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90721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116" cy="1026160"/>
                    </a:xfrm>
                    <a:prstGeom prst="rect">
                      <a:avLst/>
                    </a:prstGeom>
                  </pic:spPr>
                </pic:pic>
              </a:graphicData>
            </a:graphic>
            <wp14:sizeRelH relativeFrom="margin">
              <wp14:pctWidth>0</wp14:pctWidth>
            </wp14:sizeRelH>
            <wp14:sizeRelV relativeFrom="margin">
              <wp14:pctHeight>0</wp14:pctHeight>
            </wp14:sizeRelV>
          </wp:anchor>
        </w:drawing>
      </w:r>
    </w:p>
    <w:p w14:paraId="608B5C6D" w14:textId="77777777" w:rsidR="00D338A7" w:rsidRPr="00883AC9" w:rsidRDefault="009B0817" w:rsidP="00D338A7">
      <w:pPr>
        <w:pStyle w:val="Heading1"/>
        <w:spacing w:before="0" w:beforeAutospacing="0"/>
        <w:rPr>
          <w:rFonts w:asciiTheme="majorHAnsi" w:hAnsiTheme="majorHAnsi" w:cstheme="majorHAnsi"/>
          <w:sz w:val="24"/>
          <w:szCs w:val="24"/>
        </w:rPr>
      </w:pPr>
      <w:r>
        <w:rPr>
          <w:rFonts w:asciiTheme="majorHAnsi" w:hAnsiTheme="majorHAnsi" w:cstheme="majorHAnsi"/>
          <w:sz w:val="28"/>
          <w:szCs w:val="28"/>
        </w:rPr>
        <w:t xml:space="preserve">Quarter 1 Performance Monitoring Report </w:t>
      </w:r>
    </w:p>
    <w:p w14:paraId="608B5C6E" w14:textId="77777777" w:rsidR="00D338A7" w:rsidRPr="00ED4FF1" w:rsidRDefault="009B0817" w:rsidP="00D338A7">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608B5C6F" w14:textId="77777777" w:rsidR="00D338A7" w:rsidRPr="003E3722" w:rsidRDefault="009B0817" w:rsidP="00D338A7">
      <w:pPr>
        <w:numPr>
          <w:ilvl w:val="0"/>
          <w:numId w:val="8"/>
        </w:numPr>
        <w:spacing w:after="0" w:line="240" w:lineRule="auto"/>
        <w:rPr>
          <w:rFonts w:cstheme="minorHAnsi"/>
          <w:bCs/>
          <w:iCs/>
        </w:rPr>
      </w:pPr>
      <w:r w:rsidRPr="00D4431F">
        <w:rPr>
          <w:rFonts w:cstheme="minorHAnsi"/>
          <w:bCs/>
          <w:i/>
        </w:rPr>
        <w:t xml:space="preserve"> </w:t>
      </w:r>
      <w:r>
        <w:rPr>
          <w:rFonts w:cstheme="minorHAnsi"/>
          <w:bCs/>
          <w:iCs/>
        </w:rPr>
        <w:t xml:space="preserve">To </w:t>
      </w:r>
      <w:r w:rsidRPr="00F87D59">
        <w:rPr>
          <w:rFonts w:cstheme="minorHAnsi"/>
          <w:bCs/>
          <w:iCs/>
        </w:rPr>
        <w:t>provide Cabinet with a position statement for the Corporate Strategy for quarter one (April – June) 2021/22.</w:t>
      </w:r>
    </w:p>
    <w:p w14:paraId="608B5C70" w14:textId="77777777" w:rsidR="00D338A7" w:rsidRDefault="00AC69EF" w:rsidP="00D338A7">
      <w:pPr>
        <w:spacing w:after="0" w:line="240" w:lineRule="auto"/>
        <w:jc w:val="both"/>
        <w:rPr>
          <w:rFonts w:cstheme="minorHAnsi"/>
          <w:bCs/>
        </w:rPr>
      </w:pPr>
    </w:p>
    <w:p w14:paraId="608B5C71" w14:textId="77777777" w:rsidR="00D338A7" w:rsidRPr="002A4A7D" w:rsidRDefault="009B0817" w:rsidP="00D338A7">
      <w:pPr>
        <w:pStyle w:val="Heading2"/>
        <w:spacing w:before="0" w:beforeAutospacing="0"/>
        <w:rPr>
          <w:rFonts w:asciiTheme="majorHAnsi" w:hAnsiTheme="majorHAnsi" w:cstheme="majorHAnsi"/>
          <w:b w:val="0"/>
          <w:bCs w:val="0"/>
          <w:sz w:val="22"/>
        </w:rPr>
      </w:pPr>
      <w:r w:rsidRPr="00ED4FF1">
        <w:rPr>
          <w:rFonts w:asciiTheme="majorHAnsi" w:hAnsiTheme="majorHAnsi" w:cstheme="majorHAnsi"/>
          <w:sz w:val="22"/>
        </w:rPr>
        <w:t>Recommendations</w:t>
      </w:r>
      <w:r>
        <w:rPr>
          <w:rFonts w:asciiTheme="majorHAnsi" w:hAnsiTheme="majorHAnsi" w:cstheme="majorHAnsi"/>
          <w:sz w:val="22"/>
        </w:rPr>
        <w:t xml:space="preserve"> to Scrutiny Budget and Performance Panel </w:t>
      </w:r>
    </w:p>
    <w:p w14:paraId="608B5C72" w14:textId="77777777" w:rsidR="00D338A7" w:rsidRPr="003249A9" w:rsidRDefault="009B0817" w:rsidP="00D338A7">
      <w:pPr>
        <w:pStyle w:val="ListParagraph"/>
        <w:numPr>
          <w:ilvl w:val="0"/>
          <w:numId w:val="8"/>
        </w:numPr>
        <w:rPr>
          <w:rFonts w:cstheme="minorHAnsi"/>
          <w:bCs/>
          <w:iCs/>
        </w:rPr>
      </w:pPr>
      <w:r w:rsidRPr="003249A9">
        <w:rPr>
          <w:rFonts w:cstheme="minorHAnsi"/>
          <w:bCs/>
          <w:iCs/>
        </w:rPr>
        <w:t>The Scrutiny Budget and Performance Panel are asked to consider the report and make comments and recommendations to the Cabinet</w:t>
      </w:r>
    </w:p>
    <w:p w14:paraId="608B5C73" w14:textId="77777777" w:rsidR="00D338A7" w:rsidRPr="00ED4FF1" w:rsidRDefault="009B0817" w:rsidP="00D338A7">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 </w:t>
      </w:r>
    </w:p>
    <w:p w14:paraId="608B5C74" w14:textId="77777777" w:rsidR="00D338A7" w:rsidRPr="003249A9" w:rsidRDefault="009B0817" w:rsidP="00D338A7">
      <w:pPr>
        <w:pStyle w:val="ListParagraph"/>
        <w:numPr>
          <w:ilvl w:val="0"/>
          <w:numId w:val="8"/>
        </w:numPr>
        <w:spacing w:after="0" w:line="240" w:lineRule="auto"/>
        <w:rPr>
          <w:rFonts w:ascii="Arial" w:eastAsia="Calibri" w:hAnsi="Arial" w:cs="Times New Roman"/>
        </w:rPr>
      </w:pPr>
      <w:r w:rsidRPr="001A3941">
        <w:rPr>
          <w:rFonts w:ascii="Arial" w:eastAsia="Calibri" w:hAnsi="Arial" w:cs="Times New Roman"/>
        </w:rPr>
        <w:t>Cabinet is asked to consider and comment on the report.</w:t>
      </w:r>
    </w:p>
    <w:p w14:paraId="608B5C75" w14:textId="77777777" w:rsidR="00D338A7" w:rsidRPr="00D4431F" w:rsidRDefault="00AC69EF" w:rsidP="00D338A7">
      <w:pPr>
        <w:spacing w:after="0" w:line="240" w:lineRule="auto"/>
        <w:jc w:val="both"/>
        <w:rPr>
          <w:rFonts w:cstheme="minorHAnsi"/>
          <w:bCs/>
        </w:rPr>
      </w:pPr>
    </w:p>
    <w:p w14:paraId="608B5C76" w14:textId="77777777" w:rsidR="00D338A7" w:rsidRPr="00ED4FF1" w:rsidRDefault="009B0817" w:rsidP="00D338A7">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608B5C77" w14:textId="77777777" w:rsidR="00D338A7" w:rsidRPr="003249A9" w:rsidRDefault="009B0817" w:rsidP="00D338A7">
      <w:pPr>
        <w:pStyle w:val="ListParagraph"/>
        <w:numPr>
          <w:ilvl w:val="0"/>
          <w:numId w:val="8"/>
        </w:numPr>
        <w:rPr>
          <w:rFonts w:cstheme="minorHAnsi"/>
          <w:bCs/>
          <w:iCs/>
        </w:rPr>
      </w:pPr>
      <w:r w:rsidRPr="003249A9">
        <w:rPr>
          <w:rFonts w:cstheme="minorHAnsi"/>
          <w:bCs/>
          <w:iCs/>
        </w:rPr>
        <w:t>The Council’s performance framework sets out the process for reporting progress against the objectives of the Corporate Strategy. Robust monitoring ensures that the council continues to deliver its priorities and achieves the best outcomes for residents.</w:t>
      </w:r>
    </w:p>
    <w:p w14:paraId="608B5C78" w14:textId="77777777" w:rsidR="00D338A7" w:rsidRPr="00ED4FF1" w:rsidRDefault="009B0817" w:rsidP="00D338A7">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608B5C79" w14:textId="77777777" w:rsidR="00D338A7" w:rsidRPr="003E3722" w:rsidRDefault="009B0817" w:rsidP="00D338A7">
      <w:pPr>
        <w:numPr>
          <w:ilvl w:val="0"/>
          <w:numId w:val="8"/>
        </w:numPr>
        <w:spacing w:after="0" w:line="240" w:lineRule="auto"/>
        <w:jc w:val="both"/>
        <w:rPr>
          <w:rFonts w:cstheme="minorHAnsi"/>
          <w:bCs/>
          <w:iCs/>
        </w:rPr>
      </w:pPr>
      <w:r>
        <w:rPr>
          <w:rFonts w:cstheme="minorHAnsi"/>
          <w:bCs/>
          <w:iCs/>
        </w:rPr>
        <w:t>None</w:t>
      </w:r>
    </w:p>
    <w:p w14:paraId="608B5C7A" w14:textId="77777777" w:rsidR="00D338A7" w:rsidRPr="00D4431F" w:rsidRDefault="00AC69EF" w:rsidP="00D338A7">
      <w:pPr>
        <w:spacing w:after="0" w:line="240" w:lineRule="auto"/>
        <w:ind w:left="720"/>
        <w:jc w:val="both"/>
        <w:rPr>
          <w:rFonts w:cstheme="minorHAnsi"/>
          <w:bCs/>
          <w:i/>
        </w:rPr>
      </w:pPr>
    </w:p>
    <w:p w14:paraId="608B5C7B" w14:textId="77777777" w:rsidR="00D338A7" w:rsidRPr="00ED4FF1" w:rsidRDefault="009B0817"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Executive summary</w:t>
      </w:r>
    </w:p>
    <w:p w14:paraId="608B5C7C" w14:textId="77777777" w:rsidR="00D338A7" w:rsidRPr="003249A9" w:rsidRDefault="009B0817" w:rsidP="00D338A7">
      <w:pPr>
        <w:numPr>
          <w:ilvl w:val="0"/>
          <w:numId w:val="8"/>
        </w:numPr>
        <w:spacing w:after="0" w:line="240" w:lineRule="auto"/>
        <w:rPr>
          <w:rFonts w:cstheme="minorHAnsi"/>
          <w:bCs/>
          <w:iCs/>
        </w:rPr>
      </w:pPr>
      <w:r w:rsidRPr="003249A9">
        <w:rPr>
          <w:rFonts w:cstheme="minorHAnsi"/>
          <w:bCs/>
          <w:iCs/>
        </w:rPr>
        <w:t xml:space="preserve">This report presents the performance of the Corporate Strategy at the end of quarter one (April – June 2021). This report provides an update on the current position for the 14 projects, 24 Corporate Strategy performance measures and 13 key organisational performance measures.  </w:t>
      </w:r>
    </w:p>
    <w:p w14:paraId="608B5C7D" w14:textId="77777777" w:rsidR="00D338A7" w:rsidRPr="003249A9" w:rsidRDefault="00AC69EF" w:rsidP="00D338A7">
      <w:pPr>
        <w:spacing w:after="0" w:line="240" w:lineRule="auto"/>
        <w:ind w:left="360"/>
        <w:rPr>
          <w:rFonts w:cstheme="minorHAnsi"/>
          <w:bCs/>
          <w:iCs/>
        </w:rPr>
      </w:pPr>
    </w:p>
    <w:p w14:paraId="608B5C7E" w14:textId="77777777" w:rsidR="00D338A7" w:rsidRPr="003249A9" w:rsidRDefault="009B0817" w:rsidP="00D338A7">
      <w:pPr>
        <w:numPr>
          <w:ilvl w:val="0"/>
          <w:numId w:val="8"/>
        </w:numPr>
        <w:spacing w:after="0" w:line="240" w:lineRule="auto"/>
        <w:rPr>
          <w:rFonts w:cstheme="minorHAnsi"/>
          <w:bCs/>
          <w:iCs/>
        </w:rPr>
      </w:pPr>
      <w:r w:rsidRPr="003249A9">
        <w:rPr>
          <w:rFonts w:cstheme="minorHAnsi"/>
          <w:bCs/>
          <w:iCs/>
        </w:rPr>
        <w:t xml:space="preserve">Of the 14 projects in the strategy: </w:t>
      </w:r>
      <w:r>
        <w:rPr>
          <w:rFonts w:cstheme="minorHAnsi"/>
          <w:bCs/>
          <w:iCs/>
        </w:rPr>
        <w:t>79% (</w:t>
      </w:r>
      <w:r w:rsidRPr="003249A9">
        <w:rPr>
          <w:rFonts w:cstheme="minorHAnsi"/>
          <w:bCs/>
          <w:iCs/>
        </w:rPr>
        <w:t>11</w:t>
      </w:r>
      <w:r>
        <w:rPr>
          <w:rFonts w:cstheme="minorHAnsi"/>
          <w:bCs/>
          <w:iCs/>
        </w:rPr>
        <w:t>)</w:t>
      </w:r>
      <w:r w:rsidRPr="003249A9">
        <w:rPr>
          <w:rFonts w:cstheme="minorHAnsi"/>
          <w:bCs/>
          <w:iCs/>
        </w:rPr>
        <w:t xml:space="preserve"> are rated green and on-track; </w:t>
      </w:r>
      <w:r>
        <w:rPr>
          <w:rFonts w:cstheme="minorHAnsi"/>
          <w:bCs/>
          <w:iCs/>
        </w:rPr>
        <w:t>21% (</w:t>
      </w:r>
      <w:r w:rsidRPr="003249A9">
        <w:rPr>
          <w:rFonts w:cstheme="minorHAnsi"/>
          <w:bCs/>
          <w:iCs/>
        </w:rPr>
        <w:t>three</w:t>
      </w:r>
      <w:r>
        <w:rPr>
          <w:rFonts w:cstheme="minorHAnsi"/>
          <w:bCs/>
          <w:iCs/>
        </w:rPr>
        <w:t>)</w:t>
      </w:r>
      <w:r w:rsidRPr="003249A9">
        <w:rPr>
          <w:rFonts w:cstheme="minorHAnsi"/>
          <w:bCs/>
          <w:iCs/>
        </w:rPr>
        <w:t xml:space="preserve"> are rated amber.</w:t>
      </w:r>
    </w:p>
    <w:p w14:paraId="608B5C7F" w14:textId="77777777" w:rsidR="00D338A7" w:rsidRPr="003249A9" w:rsidRDefault="00AC69EF" w:rsidP="00D338A7">
      <w:pPr>
        <w:spacing w:after="0" w:line="240" w:lineRule="auto"/>
        <w:ind w:left="360"/>
        <w:rPr>
          <w:rFonts w:cstheme="minorHAnsi"/>
          <w:bCs/>
          <w:iCs/>
        </w:rPr>
      </w:pPr>
    </w:p>
    <w:p w14:paraId="608B5C80" w14:textId="77777777" w:rsidR="00D338A7" w:rsidRPr="003249A9" w:rsidRDefault="009B0817" w:rsidP="00D338A7">
      <w:pPr>
        <w:numPr>
          <w:ilvl w:val="0"/>
          <w:numId w:val="8"/>
        </w:numPr>
        <w:spacing w:after="0" w:line="240" w:lineRule="auto"/>
        <w:rPr>
          <w:rFonts w:cstheme="minorHAnsi"/>
          <w:bCs/>
          <w:iCs/>
        </w:rPr>
      </w:pPr>
      <w:r w:rsidRPr="003249A9">
        <w:rPr>
          <w:rFonts w:cstheme="minorHAnsi"/>
          <w:bCs/>
          <w:iCs/>
        </w:rPr>
        <w:t xml:space="preserve">Of the 24 performance indicators used to monitor the Corporate Strategy, seven can be reported at the end of the quarter. </w:t>
      </w:r>
      <w:r>
        <w:rPr>
          <w:rFonts w:cstheme="minorHAnsi"/>
          <w:bCs/>
          <w:iCs/>
        </w:rPr>
        <w:t>42% (t</w:t>
      </w:r>
      <w:r w:rsidRPr="003249A9">
        <w:rPr>
          <w:rFonts w:cstheme="minorHAnsi"/>
          <w:bCs/>
          <w:iCs/>
        </w:rPr>
        <w:t>hree</w:t>
      </w:r>
      <w:r>
        <w:rPr>
          <w:rFonts w:cstheme="minorHAnsi"/>
          <w:bCs/>
          <w:iCs/>
        </w:rPr>
        <w:t>)</w:t>
      </w:r>
      <w:r w:rsidRPr="003249A9">
        <w:rPr>
          <w:rFonts w:cstheme="minorHAnsi"/>
          <w:bCs/>
          <w:iCs/>
        </w:rPr>
        <w:t xml:space="preserve"> are rated green, </w:t>
      </w:r>
      <w:r>
        <w:rPr>
          <w:rFonts w:cstheme="minorHAnsi"/>
          <w:bCs/>
          <w:iCs/>
        </w:rPr>
        <w:t>29% (</w:t>
      </w:r>
      <w:r w:rsidRPr="003249A9">
        <w:rPr>
          <w:rFonts w:cstheme="minorHAnsi"/>
          <w:bCs/>
          <w:iCs/>
        </w:rPr>
        <w:t>two</w:t>
      </w:r>
      <w:r>
        <w:rPr>
          <w:rFonts w:cstheme="minorHAnsi"/>
          <w:bCs/>
          <w:iCs/>
        </w:rPr>
        <w:t>)</w:t>
      </w:r>
      <w:r w:rsidRPr="003249A9">
        <w:rPr>
          <w:rFonts w:cstheme="minorHAnsi"/>
          <w:bCs/>
          <w:iCs/>
        </w:rPr>
        <w:t xml:space="preserve"> are rated red and </w:t>
      </w:r>
      <w:r>
        <w:rPr>
          <w:rFonts w:cstheme="minorHAnsi"/>
          <w:bCs/>
          <w:iCs/>
        </w:rPr>
        <w:t>29% (</w:t>
      </w:r>
      <w:r w:rsidRPr="003249A9">
        <w:rPr>
          <w:rFonts w:cstheme="minorHAnsi"/>
          <w:bCs/>
          <w:iCs/>
        </w:rPr>
        <w:t>two</w:t>
      </w:r>
      <w:r>
        <w:rPr>
          <w:rFonts w:cstheme="minorHAnsi"/>
          <w:bCs/>
          <w:iCs/>
        </w:rPr>
        <w:t>)</w:t>
      </w:r>
      <w:r w:rsidRPr="003249A9">
        <w:rPr>
          <w:rFonts w:cstheme="minorHAnsi"/>
          <w:bCs/>
          <w:iCs/>
        </w:rPr>
        <w:t xml:space="preserve"> are yet to be baselined.</w:t>
      </w:r>
    </w:p>
    <w:p w14:paraId="608B5C81" w14:textId="77777777" w:rsidR="00D338A7" w:rsidRPr="003249A9" w:rsidRDefault="00AC69EF" w:rsidP="00D338A7">
      <w:pPr>
        <w:spacing w:after="0" w:line="240" w:lineRule="auto"/>
        <w:ind w:left="360"/>
        <w:rPr>
          <w:rFonts w:cstheme="minorHAnsi"/>
          <w:bCs/>
          <w:iCs/>
        </w:rPr>
      </w:pPr>
    </w:p>
    <w:p w14:paraId="608B5C82" w14:textId="77777777" w:rsidR="00D338A7" w:rsidRPr="003249A9" w:rsidRDefault="009B0817" w:rsidP="00D338A7">
      <w:pPr>
        <w:numPr>
          <w:ilvl w:val="0"/>
          <w:numId w:val="8"/>
        </w:numPr>
        <w:spacing w:after="0" w:line="240" w:lineRule="auto"/>
        <w:rPr>
          <w:rFonts w:cstheme="minorHAnsi"/>
          <w:bCs/>
          <w:iCs/>
        </w:rPr>
      </w:pPr>
      <w:r w:rsidRPr="003249A9">
        <w:rPr>
          <w:rFonts w:cstheme="minorHAnsi"/>
          <w:bCs/>
          <w:iCs/>
        </w:rPr>
        <w:t xml:space="preserve">Of the 13 key organisational performance measures; 12 can be reported at the end of the quarter. </w:t>
      </w:r>
      <w:r>
        <w:rPr>
          <w:rFonts w:cstheme="minorHAnsi"/>
          <w:bCs/>
          <w:iCs/>
        </w:rPr>
        <w:t>58% (</w:t>
      </w:r>
      <w:r w:rsidRPr="003249A9">
        <w:rPr>
          <w:rFonts w:cstheme="minorHAnsi"/>
          <w:bCs/>
          <w:iCs/>
        </w:rPr>
        <w:t>seven</w:t>
      </w:r>
      <w:r>
        <w:rPr>
          <w:rFonts w:cstheme="minorHAnsi"/>
          <w:bCs/>
          <w:iCs/>
        </w:rPr>
        <w:t>)</w:t>
      </w:r>
      <w:r w:rsidRPr="003249A9">
        <w:rPr>
          <w:rFonts w:cstheme="minorHAnsi"/>
          <w:bCs/>
          <w:iCs/>
        </w:rPr>
        <w:t xml:space="preserve"> are performing better than target; </w:t>
      </w:r>
      <w:r>
        <w:rPr>
          <w:rFonts w:cstheme="minorHAnsi"/>
          <w:bCs/>
          <w:iCs/>
        </w:rPr>
        <w:t>25% (</w:t>
      </w:r>
      <w:r w:rsidRPr="003249A9">
        <w:rPr>
          <w:rFonts w:cstheme="minorHAnsi"/>
          <w:bCs/>
          <w:iCs/>
        </w:rPr>
        <w:t>three</w:t>
      </w:r>
      <w:r>
        <w:rPr>
          <w:rFonts w:cstheme="minorHAnsi"/>
          <w:bCs/>
          <w:iCs/>
        </w:rPr>
        <w:t>)</w:t>
      </w:r>
      <w:r w:rsidRPr="003249A9">
        <w:rPr>
          <w:rFonts w:cstheme="minorHAnsi"/>
          <w:bCs/>
          <w:iCs/>
        </w:rPr>
        <w:t xml:space="preserve"> are performing worse that target but within a 5% tolerance of the target; and </w:t>
      </w:r>
      <w:r>
        <w:rPr>
          <w:rFonts w:cstheme="minorHAnsi"/>
          <w:bCs/>
          <w:iCs/>
        </w:rPr>
        <w:t>17% (</w:t>
      </w:r>
      <w:r w:rsidRPr="003249A9">
        <w:rPr>
          <w:rFonts w:cstheme="minorHAnsi"/>
          <w:bCs/>
          <w:iCs/>
        </w:rPr>
        <w:t>two</w:t>
      </w:r>
      <w:r>
        <w:rPr>
          <w:rFonts w:cstheme="minorHAnsi"/>
          <w:bCs/>
          <w:iCs/>
        </w:rPr>
        <w:t>)</w:t>
      </w:r>
      <w:r w:rsidRPr="003249A9">
        <w:rPr>
          <w:rFonts w:cstheme="minorHAnsi"/>
          <w:bCs/>
          <w:iCs/>
        </w:rPr>
        <w:t xml:space="preserve"> are worse than target and outside the 5% tolerance. </w:t>
      </w:r>
    </w:p>
    <w:p w14:paraId="608B5C83" w14:textId="77777777" w:rsidR="00D338A7" w:rsidRPr="003E3722" w:rsidRDefault="00AC69EF" w:rsidP="00D338A7">
      <w:pPr>
        <w:spacing w:after="0" w:line="240" w:lineRule="auto"/>
        <w:ind w:left="360"/>
        <w:jc w:val="both"/>
        <w:rPr>
          <w:rFonts w:cstheme="minorHAnsi"/>
          <w:bCs/>
          <w:iCs/>
        </w:rPr>
      </w:pPr>
    </w:p>
    <w:p w14:paraId="608B5C84" w14:textId="77777777" w:rsidR="00D338A7" w:rsidRPr="00ED4FF1" w:rsidRDefault="009B0817"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608B5C85" w14:textId="77777777" w:rsidR="00D338A7" w:rsidRDefault="009B0817" w:rsidP="00D338A7">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w:t>
      </w:r>
    </w:p>
    <w:p w14:paraId="608B5C86" w14:textId="77777777" w:rsidR="00D338A7" w:rsidRPr="006149F1" w:rsidRDefault="00AC69EF" w:rsidP="00D338A7">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511E98" w14:paraId="608B5C89" w14:textId="77777777" w:rsidTr="00D338A7">
        <w:tc>
          <w:tcPr>
            <w:tcW w:w="4848" w:type="dxa"/>
            <w:shd w:val="clear" w:color="auto" w:fill="auto"/>
            <w:vAlign w:val="center"/>
          </w:tcPr>
          <w:p w14:paraId="608B5C87" w14:textId="77777777" w:rsidR="00D338A7" w:rsidRPr="003249A9" w:rsidRDefault="009B0817" w:rsidP="00D338A7">
            <w:pPr>
              <w:spacing w:line="240" w:lineRule="auto"/>
              <w:jc w:val="center"/>
              <w:rPr>
                <w:rFonts w:cstheme="minorHAnsi"/>
                <w:b/>
              </w:rPr>
            </w:pPr>
            <w:r w:rsidRPr="003249A9">
              <w:rPr>
                <w:rFonts w:cstheme="minorHAnsi"/>
                <w:b/>
              </w:rPr>
              <w:t>An exemplary council</w:t>
            </w:r>
          </w:p>
        </w:tc>
        <w:tc>
          <w:tcPr>
            <w:tcW w:w="4678" w:type="dxa"/>
            <w:vAlign w:val="center"/>
          </w:tcPr>
          <w:p w14:paraId="608B5C88" w14:textId="77777777" w:rsidR="00D338A7" w:rsidRPr="003249A9" w:rsidRDefault="009B0817" w:rsidP="00D338A7">
            <w:pPr>
              <w:spacing w:line="240" w:lineRule="auto"/>
              <w:jc w:val="center"/>
              <w:rPr>
                <w:rFonts w:cstheme="minorHAnsi"/>
                <w:b/>
              </w:rPr>
            </w:pPr>
            <w:r w:rsidRPr="003249A9">
              <w:rPr>
                <w:rFonts w:cstheme="minorHAnsi"/>
                <w:b/>
              </w:rPr>
              <w:t>Thriving communities</w:t>
            </w:r>
          </w:p>
        </w:tc>
      </w:tr>
      <w:tr w:rsidR="00511E98" w14:paraId="608B5C8C" w14:textId="77777777" w:rsidTr="00D338A7">
        <w:tc>
          <w:tcPr>
            <w:tcW w:w="4848" w:type="dxa"/>
            <w:shd w:val="clear" w:color="auto" w:fill="auto"/>
            <w:vAlign w:val="center"/>
          </w:tcPr>
          <w:p w14:paraId="608B5C8A" w14:textId="77777777" w:rsidR="00D338A7" w:rsidRPr="003249A9" w:rsidRDefault="009B0817" w:rsidP="00D338A7">
            <w:pPr>
              <w:spacing w:line="240" w:lineRule="auto"/>
              <w:jc w:val="center"/>
              <w:rPr>
                <w:rFonts w:cstheme="minorHAnsi"/>
                <w:b/>
              </w:rPr>
            </w:pPr>
            <w:r w:rsidRPr="003249A9">
              <w:rPr>
                <w:rFonts w:cstheme="minorHAnsi"/>
                <w:b/>
              </w:rPr>
              <w:t>A fair local economy that works for everyone</w:t>
            </w:r>
          </w:p>
        </w:tc>
        <w:tc>
          <w:tcPr>
            <w:tcW w:w="4678" w:type="dxa"/>
            <w:vAlign w:val="center"/>
          </w:tcPr>
          <w:p w14:paraId="608B5C8B" w14:textId="77777777" w:rsidR="00D338A7" w:rsidRPr="003249A9" w:rsidRDefault="009B0817" w:rsidP="00D338A7">
            <w:pPr>
              <w:spacing w:line="240" w:lineRule="auto"/>
              <w:jc w:val="center"/>
              <w:rPr>
                <w:rFonts w:cstheme="minorHAnsi"/>
                <w:b/>
              </w:rPr>
            </w:pPr>
            <w:r w:rsidRPr="003249A9">
              <w:rPr>
                <w:rFonts w:cstheme="minorHAnsi"/>
                <w:b/>
              </w:rPr>
              <w:t>Good homes, green spaces, healthy places</w:t>
            </w:r>
          </w:p>
        </w:tc>
      </w:tr>
    </w:tbl>
    <w:p w14:paraId="608B5C8D" w14:textId="77777777" w:rsidR="00D338A7" w:rsidRPr="00D4431F" w:rsidRDefault="00AC69EF" w:rsidP="00D338A7">
      <w:pPr>
        <w:spacing w:line="240" w:lineRule="auto"/>
        <w:jc w:val="both"/>
        <w:rPr>
          <w:rFonts w:cstheme="minorHAnsi"/>
          <w:bCs/>
        </w:rPr>
      </w:pPr>
    </w:p>
    <w:p w14:paraId="608B5C8E" w14:textId="77777777" w:rsidR="00D338A7" w:rsidRPr="00ED4FF1" w:rsidRDefault="009B0817"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608B5C8F"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At Council on 30th September 2020, the Corporate Strategy was updated and refreshed to ensure that the Council can continue to meet the needs of the borough.</w:t>
      </w:r>
    </w:p>
    <w:p w14:paraId="608B5C90" w14:textId="77777777" w:rsidR="00D338A7" w:rsidRPr="003249A9" w:rsidRDefault="00AC69EF" w:rsidP="00D338A7">
      <w:pPr>
        <w:spacing w:after="0" w:line="240" w:lineRule="auto"/>
        <w:ind w:left="720"/>
        <w:contextualSpacing/>
        <w:rPr>
          <w:rFonts w:ascii="Arial" w:eastAsia="Calibri" w:hAnsi="Arial" w:cs="Times New Roman"/>
        </w:rPr>
      </w:pPr>
    </w:p>
    <w:p w14:paraId="608B5C91"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The four priorities identified in the strategy are:</w:t>
      </w:r>
    </w:p>
    <w:p w14:paraId="608B5C92" w14:textId="77777777" w:rsidR="00D338A7" w:rsidRPr="003249A9" w:rsidRDefault="009B0817" w:rsidP="00D338A7">
      <w:pPr>
        <w:numPr>
          <w:ilvl w:val="0"/>
          <w:numId w:val="11"/>
        </w:numPr>
        <w:spacing w:after="0" w:line="240" w:lineRule="auto"/>
        <w:contextualSpacing/>
        <w:rPr>
          <w:rFonts w:ascii="Arial" w:eastAsia="Calibri" w:hAnsi="Arial" w:cs="Times New Roman"/>
        </w:rPr>
      </w:pPr>
      <w:r w:rsidRPr="003249A9">
        <w:rPr>
          <w:rFonts w:ascii="Arial" w:eastAsia="Calibri" w:hAnsi="Arial" w:cs="Times New Roman"/>
        </w:rPr>
        <w:t>An exemplary council,</w:t>
      </w:r>
    </w:p>
    <w:p w14:paraId="608B5C93" w14:textId="77777777" w:rsidR="00D338A7" w:rsidRPr="003249A9" w:rsidRDefault="009B0817" w:rsidP="00D338A7">
      <w:pPr>
        <w:numPr>
          <w:ilvl w:val="0"/>
          <w:numId w:val="11"/>
        </w:numPr>
        <w:spacing w:after="0" w:line="240" w:lineRule="auto"/>
        <w:contextualSpacing/>
        <w:rPr>
          <w:rFonts w:ascii="Arial" w:eastAsia="Calibri" w:hAnsi="Arial" w:cs="Times New Roman"/>
        </w:rPr>
      </w:pPr>
      <w:r w:rsidRPr="003249A9">
        <w:rPr>
          <w:rFonts w:ascii="Arial" w:eastAsia="Calibri" w:hAnsi="Arial" w:cs="Times New Roman"/>
        </w:rPr>
        <w:t>Thriving communities,</w:t>
      </w:r>
    </w:p>
    <w:p w14:paraId="608B5C94" w14:textId="77777777" w:rsidR="00D338A7" w:rsidRPr="003249A9" w:rsidRDefault="009B0817" w:rsidP="00D338A7">
      <w:pPr>
        <w:numPr>
          <w:ilvl w:val="0"/>
          <w:numId w:val="11"/>
        </w:numPr>
        <w:spacing w:after="0" w:line="240" w:lineRule="auto"/>
        <w:contextualSpacing/>
        <w:rPr>
          <w:rFonts w:ascii="Arial" w:eastAsia="Calibri" w:hAnsi="Arial" w:cs="Times New Roman"/>
        </w:rPr>
      </w:pPr>
      <w:r w:rsidRPr="003249A9">
        <w:rPr>
          <w:rFonts w:ascii="Arial" w:eastAsia="Calibri" w:hAnsi="Arial" w:cs="Times New Roman"/>
        </w:rPr>
        <w:t>A fair local economy that works for everyone,</w:t>
      </w:r>
    </w:p>
    <w:p w14:paraId="608B5C95" w14:textId="77777777" w:rsidR="00D338A7" w:rsidRPr="003249A9" w:rsidRDefault="009B0817" w:rsidP="00D338A7">
      <w:pPr>
        <w:numPr>
          <w:ilvl w:val="0"/>
          <w:numId w:val="11"/>
        </w:numPr>
        <w:spacing w:after="0" w:line="240" w:lineRule="auto"/>
        <w:contextualSpacing/>
        <w:rPr>
          <w:rFonts w:ascii="Arial" w:eastAsia="Calibri" w:hAnsi="Arial" w:cs="Times New Roman"/>
        </w:rPr>
      </w:pPr>
      <w:r w:rsidRPr="003249A9">
        <w:rPr>
          <w:rFonts w:ascii="Arial" w:eastAsia="Calibri" w:hAnsi="Arial" w:cs="Times New Roman"/>
        </w:rPr>
        <w:t>Good homes, green spaces, healthy places.</w:t>
      </w:r>
    </w:p>
    <w:p w14:paraId="608B5C96" w14:textId="77777777" w:rsidR="00D338A7" w:rsidRPr="003249A9" w:rsidRDefault="00AC69EF" w:rsidP="00D338A7">
      <w:pPr>
        <w:spacing w:after="0" w:line="240" w:lineRule="auto"/>
        <w:ind w:left="720"/>
        <w:jc w:val="both"/>
        <w:rPr>
          <w:rFonts w:cstheme="minorHAnsi"/>
          <w:bCs/>
          <w:i/>
        </w:rPr>
      </w:pPr>
    </w:p>
    <w:p w14:paraId="608B5C97"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Activity and resources are targeted towards 14 priority projects which are delivered over a period of 12-18 months and measured using 24 performance indicators. This report provides the status of the projects and measures at the end of quarter one, 2021-22.</w:t>
      </w:r>
    </w:p>
    <w:p w14:paraId="608B5C98" w14:textId="77777777" w:rsidR="00D338A7" w:rsidRPr="003249A9" w:rsidRDefault="00AC69EF" w:rsidP="00D338A7">
      <w:pPr>
        <w:spacing w:after="0" w:line="240" w:lineRule="auto"/>
        <w:ind w:left="720"/>
        <w:jc w:val="both"/>
        <w:rPr>
          <w:rFonts w:cstheme="minorHAnsi"/>
          <w:bCs/>
          <w:i/>
        </w:rPr>
      </w:pPr>
    </w:p>
    <w:p w14:paraId="608B5C99"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A colour rating system is used to indicate status whereby:</w:t>
      </w:r>
    </w:p>
    <w:p w14:paraId="608B5C9A" w14:textId="77777777" w:rsidR="00D338A7" w:rsidRPr="003249A9" w:rsidRDefault="009B0817" w:rsidP="00D338A7">
      <w:pPr>
        <w:spacing w:after="0" w:line="240" w:lineRule="auto"/>
        <w:ind w:left="360"/>
        <w:contextualSpacing/>
        <w:jc w:val="both"/>
        <w:rPr>
          <w:rFonts w:cstheme="minorHAnsi"/>
          <w:bCs/>
          <w:iCs/>
        </w:rPr>
      </w:pPr>
      <w:r w:rsidRPr="003249A9">
        <w:rPr>
          <w:rFonts w:cstheme="minorHAnsi"/>
          <w:bCs/>
          <w:iCs/>
        </w:rPr>
        <w:t xml:space="preserve"> </w:t>
      </w:r>
    </w:p>
    <w:p w14:paraId="608B5C9B" w14:textId="77777777" w:rsidR="00D338A7" w:rsidRPr="003249A9" w:rsidRDefault="009B0817" w:rsidP="00D338A7">
      <w:pPr>
        <w:widowControl w:val="0"/>
        <w:spacing w:after="0" w:line="240" w:lineRule="auto"/>
        <w:ind w:firstLine="709"/>
        <w:outlineLvl w:val="0"/>
        <w:rPr>
          <w:rFonts w:ascii="Arial" w:eastAsia="Times New Roman" w:hAnsi="Arial" w:cs="Times New Roman"/>
          <w:b/>
          <w:lang w:eastAsia="en-GB"/>
        </w:rPr>
      </w:pPr>
      <w:r w:rsidRPr="003249A9">
        <w:rPr>
          <w:rFonts w:ascii="Arial" w:eastAsia="Times New Roman" w:hAnsi="Arial" w:cs="Times New Roman"/>
          <w:b/>
          <w:lang w:eastAsia="en-GB"/>
        </w:rPr>
        <w:t>Projects</w:t>
      </w:r>
    </w:p>
    <w:p w14:paraId="608B5C9C" w14:textId="77777777" w:rsidR="00D338A7" w:rsidRPr="003249A9" w:rsidRDefault="00AC69EF" w:rsidP="00D338A7">
      <w:pPr>
        <w:widowControl w:val="0"/>
        <w:spacing w:after="0" w:line="240" w:lineRule="auto"/>
        <w:ind w:firstLine="709"/>
        <w:outlineLvl w:val="0"/>
        <w:rPr>
          <w:rFonts w:ascii="Arial" w:eastAsia="Times New Roman" w:hAnsi="Arial" w:cs="Times New Roman"/>
          <w:b/>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6913"/>
      </w:tblGrid>
      <w:tr w:rsidR="00511E98" w14:paraId="608B5C9F" w14:textId="77777777" w:rsidTr="00D338A7">
        <w:trPr>
          <w:trHeight w:val="251"/>
        </w:trPr>
        <w:tc>
          <w:tcPr>
            <w:tcW w:w="1023" w:type="dxa"/>
            <w:shd w:val="clear" w:color="auto" w:fill="auto"/>
            <w:vAlign w:val="center"/>
          </w:tcPr>
          <w:p w14:paraId="608B5C9D" w14:textId="77777777" w:rsidR="00D338A7" w:rsidRPr="003249A9" w:rsidRDefault="009B0817" w:rsidP="00D338A7">
            <w:pPr>
              <w:widowControl w:val="0"/>
              <w:spacing w:after="0" w:line="256" w:lineRule="auto"/>
              <w:contextualSpacing/>
              <w:jc w:val="center"/>
              <w:outlineLvl w:val="0"/>
              <w:rPr>
                <w:rFonts w:ascii="Arial" w:eastAsia="Calibri" w:hAnsi="Arial" w:cs="Times New Roman"/>
                <w:b/>
                <w:color w:val="FFC000"/>
              </w:rPr>
            </w:pPr>
            <w:r w:rsidRPr="003249A9">
              <w:rPr>
                <w:rFonts w:ascii="Arial" w:eastAsia="Calibri" w:hAnsi="Arial" w:cs="Times New Roman"/>
                <w:b/>
                <w:color w:val="FF0000"/>
              </w:rPr>
              <w:t>RED</w:t>
            </w:r>
          </w:p>
        </w:tc>
        <w:tc>
          <w:tcPr>
            <w:tcW w:w="6913" w:type="dxa"/>
            <w:shd w:val="clear" w:color="auto" w:fill="auto"/>
            <w:vAlign w:val="center"/>
          </w:tcPr>
          <w:p w14:paraId="608B5C9E" w14:textId="77777777" w:rsidR="00D338A7" w:rsidRPr="003249A9" w:rsidRDefault="009B0817" w:rsidP="00D338A7">
            <w:pPr>
              <w:widowControl w:val="0"/>
              <w:spacing w:after="0" w:line="256" w:lineRule="auto"/>
              <w:contextualSpacing/>
              <w:outlineLvl w:val="0"/>
              <w:rPr>
                <w:rFonts w:ascii="Arial" w:eastAsia="Calibri" w:hAnsi="Arial" w:cs="Times New Roman"/>
                <w:bCs/>
              </w:rPr>
            </w:pPr>
            <w:r w:rsidRPr="003249A9">
              <w:rPr>
                <w:rFonts w:ascii="Arial" w:eastAsia="Calibri" w:hAnsi="Arial" w:cs="Times New Roman"/>
                <w:bCs/>
              </w:rPr>
              <w:t>Off track</w:t>
            </w:r>
          </w:p>
        </w:tc>
      </w:tr>
      <w:tr w:rsidR="00511E98" w14:paraId="608B5CA2" w14:textId="77777777" w:rsidTr="00D338A7">
        <w:trPr>
          <w:trHeight w:val="251"/>
        </w:trPr>
        <w:tc>
          <w:tcPr>
            <w:tcW w:w="1023" w:type="dxa"/>
            <w:shd w:val="clear" w:color="auto" w:fill="auto"/>
            <w:vAlign w:val="center"/>
          </w:tcPr>
          <w:p w14:paraId="608B5CA0" w14:textId="77777777" w:rsidR="00D338A7" w:rsidRPr="003249A9" w:rsidRDefault="009B0817" w:rsidP="00D338A7">
            <w:pPr>
              <w:widowControl w:val="0"/>
              <w:spacing w:after="0" w:line="256" w:lineRule="auto"/>
              <w:contextualSpacing/>
              <w:jc w:val="center"/>
              <w:outlineLvl w:val="0"/>
              <w:rPr>
                <w:rFonts w:ascii="Arial" w:eastAsia="Calibri" w:hAnsi="Arial" w:cs="Times New Roman"/>
                <w:b/>
                <w:color w:val="FFC000"/>
              </w:rPr>
            </w:pPr>
            <w:r w:rsidRPr="003249A9">
              <w:rPr>
                <w:rFonts w:ascii="Arial" w:eastAsia="Calibri" w:hAnsi="Arial" w:cs="Times New Roman"/>
                <w:b/>
                <w:color w:val="FFC000"/>
              </w:rPr>
              <w:t>AMBER</w:t>
            </w:r>
          </w:p>
        </w:tc>
        <w:tc>
          <w:tcPr>
            <w:tcW w:w="6913" w:type="dxa"/>
            <w:shd w:val="clear" w:color="auto" w:fill="auto"/>
            <w:vAlign w:val="center"/>
          </w:tcPr>
          <w:p w14:paraId="608B5CA1" w14:textId="77777777" w:rsidR="00D338A7" w:rsidRPr="003249A9" w:rsidRDefault="009B0817" w:rsidP="00D338A7">
            <w:pPr>
              <w:widowControl w:val="0"/>
              <w:spacing w:after="0" w:line="256" w:lineRule="auto"/>
              <w:contextualSpacing/>
              <w:outlineLvl w:val="0"/>
              <w:rPr>
                <w:rFonts w:ascii="Arial" w:eastAsia="Calibri" w:hAnsi="Arial" w:cs="Times New Roman"/>
                <w:bCs/>
              </w:rPr>
            </w:pPr>
            <w:r w:rsidRPr="003249A9">
              <w:rPr>
                <w:rFonts w:ascii="Arial" w:eastAsia="Calibri" w:hAnsi="Arial" w:cs="Times New Roman"/>
                <w:bCs/>
              </w:rPr>
              <w:t>Forecast delays or concerns, an early warning of issues</w:t>
            </w:r>
          </w:p>
        </w:tc>
      </w:tr>
      <w:tr w:rsidR="00511E98" w14:paraId="608B5CA5" w14:textId="77777777" w:rsidTr="00D338A7">
        <w:trPr>
          <w:trHeight w:val="181"/>
        </w:trPr>
        <w:tc>
          <w:tcPr>
            <w:tcW w:w="1023" w:type="dxa"/>
            <w:shd w:val="clear" w:color="auto" w:fill="auto"/>
            <w:vAlign w:val="center"/>
          </w:tcPr>
          <w:p w14:paraId="608B5CA3" w14:textId="77777777" w:rsidR="00D338A7" w:rsidRPr="003249A9" w:rsidRDefault="009B0817" w:rsidP="00D338A7">
            <w:pPr>
              <w:widowControl w:val="0"/>
              <w:spacing w:after="0" w:line="256" w:lineRule="auto"/>
              <w:contextualSpacing/>
              <w:jc w:val="center"/>
              <w:outlineLvl w:val="0"/>
              <w:rPr>
                <w:rFonts w:ascii="Arial" w:eastAsia="Calibri" w:hAnsi="Arial" w:cs="Times New Roman"/>
                <w:b/>
                <w:color w:val="FF0000"/>
              </w:rPr>
            </w:pPr>
            <w:r w:rsidRPr="003249A9">
              <w:rPr>
                <w:rFonts w:ascii="Arial" w:eastAsia="Calibri" w:hAnsi="Arial" w:cs="Times New Roman"/>
                <w:b/>
                <w:color w:val="00B050"/>
              </w:rPr>
              <w:t>GREEN</w:t>
            </w:r>
          </w:p>
        </w:tc>
        <w:tc>
          <w:tcPr>
            <w:tcW w:w="6913" w:type="dxa"/>
            <w:shd w:val="clear" w:color="auto" w:fill="auto"/>
            <w:vAlign w:val="center"/>
          </w:tcPr>
          <w:p w14:paraId="608B5CA4" w14:textId="77777777" w:rsidR="00D338A7" w:rsidRPr="003249A9" w:rsidRDefault="009B0817" w:rsidP="00D338A7">
            <w:pPr>
              <w:widowControl w:val="0"/>
              <w:spacing w:after="0" w:line="256" w:lineRule="auto"/>
              <w:contextualSpacing/>
              <w:outlineLvl w:val="0"/>
              <w:rPr>
                <w:rFonts w:ascii="Arial" w:eastAsia="Calibri" w:hAnsi="Arial" w:cs="Times New Roman"/>
                <w:bCs/>
              </w:rPr>
            </w:pPr>
            <w:r w:rsidRPr="003249A9">
              <w:rPr>
                <w:rFonts w:ascii="Arial" w:eastAsia="Calibri" w:hAnsi="Arial" w:cs="Times New Roman"/>
                <w:bCs/>
              </w:rPr>
              <w:t>On track and progressing as planning</w:t>
            </w:r>
          </w:p>
        </w:tc>
      </w:tr>
    </w:tbl>
    <w:p w14:paraId="608B5CA6" w14:textId="77777777" w:rsidR="00D338A7" w:rsidRDefault="00AC69EF" w:rsidP="00D338A7">
      <w:pPr>
        <w:spacing w:after="0" w:line="240" w:lineRule="auto"/>
        <w:ind w:left="360"/>
        <w:jc w:val="both"/>
        <w:rPr>
          <w:rFonts w:cstheme="minorHAnsi"/>
          <w:bCs/>
          <w:iCs/>
        </w:rPr>
      </w:pPr>
    </w:p>
    <w:p w14:paraId="608B5CA7" w14:textId="77777777" w:rsidR="00D338A7" w:rsidRPr="003249A9" w:rsidRDefault="009B0817" w:rsidP="00D338A7">
      <w:pPr>
        <w:spacing w:after="0" w:line="240" w:lineRule="auto"/>
        <w:ind w:firstLine="709"/>
        <w:rPr>
          <w:rFonts w:ascii="Arial" w:eastAsia="Times New Roman" w:hAnsi="Arial" w:cs="Times New Roman"/>
          <w:b/>
          <w:szCs w:val="20"/>
          <w:lang w:eastAsia="en-GB"/>
        </w:rPr>
      </w:pPr>
      <w:r w:rsidRPr="003249A9">
        <w:rPr>
          <w:rFonts w:ascii="Arial" w:eastAsia="Times New Roman" w:hAnsi="Arial" w:cs="Times New Roman"/>
          <w:b/>
          <w:szCs w:val="20"/>
          <w:lang w:eastAsia="en-GB"/>
        </w:rPr>
        <w:t>Performance Indicators</w:t>
      </w:r>
    </w:p>
    <w:p w14:paraId="608B5CA8" w14:textId="77777777" w:rsidR="00D338A7" w:rsidRPr="003249A9" w:rsidRDefault="00AC69EF" w:rsidP="00D338A7">
      <w:pPr>
        <w:spacing w:after="0" w:line="240" w:lineRule="auto"/>
        <w:ind w:firstLine="709"/>
        <w:rPr>
          <w:rFonts w:ascii="Arial" w:eastAsia="Times New Roman" w:hAnsi="Arial" w:cs="Times New Roman"/>
          <w:b/>
          <w:szCs w:val="20"/>
          <w:lang w:eastAsia="en-G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968"/>
      </w:tblGrid>
      <w:tr w:rsidR="00511E98" w14:paraId="608B5CAB" w14:textId="77777777" w:rsidTr="00D338A7">
        <w:trPr>
          <w:trHeight w:val="145"/>
        </w:trPr>
        <w:tc>
          <w:tcPr>
            <w:tcW w:w="1003" w:type="dxa"/>
            <w:shd w:val="clear" w:color="auto" w:fill="auto"/>
            <w:vAlign w:val="center"/>
          </w:tcPr>
          <w:p w14:paraId="608B5CA9" w14:textId="77777777" w:rsidR="00D338A7" w:rsidRPr="003249A9" w:rsidRDefault="009B0817" w:rsidP="00D338A7">
            <w:pPr>
              <w:widowControl w:val="0"/>
              <w:spacing w:after="0" w:line="256" w:lineRule="auto"/>
              <w:contextualSpacing/>
              <w:jc w:val="center"/>
              <w:outlineLvl w:val="0"/>
              <w:rPr>
                <w:rFonts w:ascii="Arial" w:eastAsia="Calibri" w:hAnsi="Arial" w:cs="Times New Roman"/>
                <w:b/>
                <w:color w:val="00B050"/>
              </w:rPr>
            </w:pPr>
            <w:r w:rsidRPr="003249A9">
              <w:rPr>
                <w:rFonts w:ascii="Wingdings 3" w:eastAsia="Calibri" w:hAnsi="Wingdings 3" w:cs="Times New Roman"/>
                <w:color w:val="FF0000"/>
                <w:sz w:val="32"/>
              </w:rPr>
              <w:sym w:font="Wingdings 3" w:char="F070"/>
            </w:r>
          </w:p>
        </w:tc>
        <w:tc>
          <w:tcPr>
            <w:tcW w:w="7509" w:type="dxa"/>
            <w:shd w:val="clear" w:color="auto" w:fill="auto"/>
            <w:vAlign w:val="center"/>
          </w:tcPr>
          <w:p w14:paraId="608B5CAA" w14:textId="77777777" w:rsidR="00D338A7" w:rsidRPr="003249A9" w:rsidRDefault="009B0817" w:rsidP="00D338A7">
            <w:pPr>
              <w:widowControl w:val="0"/>
              <w:spacing w:after="0" w:line="256" w:lineRule="auto"/>
              <w:contextualSpacing/>
              <w:outlineLvl w:val="0"/>
              <w:rPr>
                <w:rFonts w:ascii="Arial" w:eastAsia="Arial" w:hAnsi="Arial" w:cs="Times New Roman"/>
                <w:bCs/>
                <w:color w:val="000000"/>
              </w:rPr>
            </w:pPr>
            <w:r w:rsidRPr="003249A9">
              <w:rPr>
                <w:rFonts w:ascii="Arial" w:eastAsia="Arial" w:hAnsi="Arial" w:cs="Times New Roman"/>
                <w:bCs/>
                <w:color w:val="000000"/>
              </w:rPr>
              <w:t>Worse than target, outside threshold</w:t>
            </w:r>
          </w:p>
        </w:tc>
      </w:tr>
      <w:tr w:rsidR="00511E98" w14:paraId="608B5CAE" w14:textId="77777777" w:rsidTr="00D338A7">
        <w:trPr>
          <w:trHeight w:val="145"/>
        </w:trPr>
        <w:tc>
          <w:tcPr>
            <w:tcW w:w="1003" w:type="dxa"/>
            <w:shd w:val="clear" w:color="auto" w:fill="auto"/>
            <w:vAlign w:val="center"/>
          </w:tcPr>
          <w:p w14:paraId="608B5CAC" w14:textId="77777777" w:rsidR="00D338A7" w:rsidRPr="003249A9" w:rsidRDefault="009B0817" w:rsidP="00D338A7">
            <w:pPr>
              <w:widowControl w:val="0"/>
              <w:spacing w:after="0" w:line="256" w:lineRule="auto"/>
              <w:contextualSpacing/>
              <w:jc w:val="center"/>
              <w:outlineLvl w:val="0"/>
              <w:rPr>
                <w:rFonts w:ascii="Arial" w:eastAsia="Calibri" w:hAnsi="Arial" w:cs="Times New Roman"/>
                <w:b/>
                <w:color w:val="5B9BD5"/>
              </w:rPr>
            </w:pPr>
            <w:r w:rsidRPr="003249A9">
              <w:rPr>
                <w:rFonts w:ascii="Wingdings" w:eastAsia="Calibri" w:hAnsi="Wingdings" w:cs="Times New Roman"/>
                <w:color w:val="5B9BD5"/>
                <w:sz w:val="44"/>
              </w:rPr>
              <w:sym w:font="Wingdings" w:char="F06C"/>
            </w:r>
          </w:p>
        </w:tc>
        <w:tc>
          <w:tcPr>
            <w:tcW w:w="7509" w:type="dxa"/>
            <w:shd w:val="clear" w:color="auto" w:fill="auto"/>
            <w:vAlign w:val="center"/>
          </w:tcPr>
          <w:p w14:paraId="608B5CAD" w14:textId="77777777" w:rsidR="00D338A7" w:rsidRPr="003249A9" w:rsidRDefault="009B0817" w:rsidP="00D338A7">
            <w:pPr>
              <w:widowControl w:val="0"/>
              <w:spacing w:after="0" w:line="256" w:lineRule="auto"/>
              <w:contextualSpacing/>
              <w:outlineLvl w:val="0"/>
              <w:rPr>
                <w:rFonts w:ascii="Arial" w:eastAsia="Arial" w:hAnsi="Arial" w:cs="Times New Roman"/>
                <w:bCs/>
                <w:color w:val="000000"/>
              </w:rPr>
            </w:pPr>
            <w:r w:rsidRPr="003249A9">
              <w:rPr>
                <w:rFonts w:ascii="Arial" w:eastAsia="Arial" w:hAnsi="Arial" w:cs="Times New Roman"/>
                <w:bCs/>
                <w:color w:val="000000"/>
              </w:rPr>
              <w:t>Worse than target but within threshold (5%)</w:t>
            </w:r>
          </w:p>
        </w:tc>
      </w:tr>
      <w:tr w:rsidR="00511E98" w14:paraId="608B5CB1" w14:textId="77777777" w:rsidTr="00D338A7">
        <w:trPr>
          <w:trHeight w:val="70"/>
        </w:trPr>
        <w:tc>
          <w:tcPr>
            <w:tcW w:w="1003" w:type="dxa"/>
            <w:shd w:val="clear" w:color="auto" w:fill="auto"/>
            <w:vAlign w:val="center"/>
          </w:tcPr>
          <w:p w14:paraId="608B5CAF" w14:textId="77777777" w:rsidR="00D338A7" w:rsidRPr="003249A9" w:rsidRDefault="009B0817" w:rsidP="00D338A7">
            <w:pPr>
              <w:widowControl w:val="0"/>
              <w:spacing w:after="0" w:line="256" w:lineRule="auto"/>
              <w:contextualSpacing/>
              <w:jc w:val="center"/>
              <w:outlineLvl w:val="0"/>
              <w:rPr>
                <w:rFonts w:ascii="Arial" w:eastAsia="Calibri" w:hAnsi="Arial" w:cs="Times New Roman"/>
                <w:b/>
                <w:color w:val="00B050"/>
              </w:rPr>
            </w:pPr>
            <w:r w:rsidRPr="003249A9">
              <w:rPr>
                <w:rFonts w:ascii="Wingdings" w:eastAsia="Calibri" w:hAnsi="Wingdings" w:cs="Times New Roman"/>
                <w:color w:val="00B050"/>
                <w:sz w:val="44"/>
              </w:rPr>
              <w:sym w:font="Wingdings" w:char="F0AB"/>
            </w:r>
          </w:p>
        </w:tc>
        <w:tc>
          <w:tcPr>
            <w:tcW w:w="7509" w:type="dxa"/>
            <w:shd w:val="clear" w:color="auto" w:fill="auto"/>
            <w:vAlign w:val="center"/>
          </w:tcPr>
          <w:p w14:paraId="608B5CB0" w14:textId="77777777" w:rsidR="00D338A7" w:rsidRPr="003249A9" w:rsidRDefault="009B0817" w:rsidP="00D338A7">
            <w:pPr>
              <w:widowControl w:val="0"/>
              <w:spacing w:after="0" w:line="256" w:lineRule="auto"/>
              <w:contextualSpacing/>
              <w:outlineLvl w:val="0"/>
              <w:rPr>
                <w:rFonts w:ascii="Arial" w:eastAsia="Arial" w:hAnsi="Arial" w:cs="Times New Roman"/>
                <w:bCs/>
                <w:color w:val="000000"/>
              </w:rPr>
            </w:pPr>
            <w:r w:rsidRPr="003249A9">
              <w:rPr>
                <w:rFonts w:ascii="Arial" w:eastAsia="Arial" w:hAnsi="Arial" w:cs="Times New Roman"/>
                <w:bCs/>
                <w:color w:val="000000"/>
              </w:rPr>
              <w:t>Performance is better than target</w:t>
            </w:r>
          </w:p>
        </w:tc>
      </w:tr>
    </w:tbl>
    <w:p w14:paraId="608B5CB2" w14:textId="77777777" w:rsidR="00D338A7" w:rsidRDefault="00AC69EF" w:rsidP="00D338A7">
      <w:pPr>
        <w:spacing w:after="0" w:line="240" w:lineRule="auto"/>
        <w:ind w:left="360"/>
        <w:jc w:val="both"/>
        <w:rPr>
          <w:rFonts w:cstheme="minorHAnsi"/>
          <w:bCs/>
          <w:iCs/>
        </w:rPr>
      </w:pPr>
    </w:p>
    <w:p w14:paraId="608B5CB3" w14:textId="77777777" w:rsidR="00D338A7" w:rsidRPr="003E3722" w:rsidRDefault="00AC69EF" w:rsidP="00D338A7">
      <w:pPr>
        <w:spacing w:after="0" w:line="240" w:lineRule="auto"/>
        <w:ind w:left="360"/>
        <w:jc w:val="both"/>
        <w:rPr>
          <w:rFonts w:cstheme="minorHAnsi"/>
          <w:bCs/>
          <w:iCs/>
        </w:rPr>
      </w:pPr>
    </w:p>
    <w:p w14:paraId="608B5CB4" w14:textId="77777777" w:rsidR="00D338A7" w:rsidRDefault="00AC69EF" w:rsidP="00D338A7">
      <w:pPr>
        <w:spacing w:after="0" w:line="240" w:lineRule="auto"/>
        <w:jc w:val="both"/>
        <w:rPr>
          <w:rFonts w:cstheme="minorHAnsi"/>
          <w:bCs/>
          <w:i/>
        </w:rPr>
        <w:sectPr w:rsidR="00D338A7" w:rsidSect="00D338A7">
          <w:headerReference w:type="default" r:id="rId9"/>
          <w:pgSz w:w="11906" w:h="16838"/>
          <w:pgMar w:top="1843" w:right="1440" w:bottom="709" w:left="1440" w:header="708" w:footer="708" w:gutter="0"/>
          <w:cols w:space="708"/>
          <w:docGrid w:linePitch="360"/>
        </w:sectPr>
      </w:pPr>
    </w:p>
    <w:tbl>
      <w:tblPr>
        <w:tblpPr w:leftFromText="180" w:rightFromText="180" w:vertAnchor="page" w:horzAnchor="margin" w:tblpXSpec="center" w:tblpY="34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7"/>
        <w:gridCol w:w="3117"/>
      </w:tblGrid>
      <w:tr w:rsidR="00511E98" w14:paraId="608B5CB8" w14:textId="77777777" w:rsidTr="00D338A7">
        <w:trPr>
          <w:trHeight w:val="1841"/>
        </w:trPr>
        <w:tc>
          <w:tcPr>
            <w:tcW w:w="9351" w:type="dxa"/>
            <w:gridSpan w:val="3"/>
            <w:tcBorders>
              <w:top w:val="nil"/>
              <w:left w:val="nil"/>
              <w:right w:val="nil"/>
            </w:tcBorders>
            <w:shd w:val="clear" w:color="auto" w:fill="auto"/>
          </w:tcPr>
          <w:p w14:paraId="608B5CB5" w14:textId="77777777" w:rsidR="00D338A7" w:rsidRPr="003249A9" w:rsidRDefault="009B0817" w:rsidP="00D338A7">
            <w:pPr>
              <w:widowControl w:val="0"/>
              <w:spacing w:after="0" w:line="259" w:lineRule="auto"/>
              <w:ind w:firstLine="208"/>
              <w:contextualSpacing/>
              <w:outlineLvl w:val="0"/>
              <w:rPr>
                <w:rFonts w:cs="Arial"/>
                <w:b/>
              </w:rPr>
            </w:pPr>
            <w:bookmarkStart w:id="2" w:name="_Hlk54077637"/>
            <w:r w:rsidRPr="003249A9">
              <w:rPr>
                <w:rFonts w:cs="Arial"/>
                <w:b/>
                <w:noProof/>
              </w:rPr>
              <w:lastRenderedPageBreak/>
              <w:drawing>
                <wp:inline distT="0" distB="0" distL="0" distR="0" wp14:anchorId="608B5EDA" wp14:editId="608B5EDB">
                  <wp:extent cx="1085850" cy="1314450"/>
                  <wp:effectExtent l="0" t="0" r="0" b="0"/>
                  <wp:docPr id="2" name="Picture 2" descr="Icon&#10;&#10;Description automatically generated"/>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1495336405" name="Picture 1"/>
                          <pic:cNvPicPr>
                            <a:picLocks noRot="1" noChangeAspect="1" noMove="1" noResize="1" noChangeArrowheads="1"/>
                          </pic:cNvPicPr>
                        </pic:nvPicPr>
                        <pic:blipFill>
                          <a:blip r:embed="rId10">
                            <a:extLst>
                              <a:ext uri="{28A0092B-C50C-407E-A947-70E740481C1C}">
                                <a14:useLocalDpi xmlns:a14="http://schemas.microsoft.com/office/drawing/2010/main" val="0"/>
                              </a:ext>
                            </a:extLst>
                          </a:blip>
                          <a:srcRect b="-22183"/>
                          <a:stretch>
                            <a:fillRect/>
                          </a:stretch>
                        </pic:blipFill>
                        <pic:spPr bwMode="auto">
                          <a:xfrm>
                            <a:off x="0" y="0"/>
                            <a:ext cx="1085850" cy="1314450"/>
                          </a:xfrm>
                          <a:prstGeom prst="rect">
                            <a:avLst/>
                          </a:prstGeom>
                          <a:noFill/>
                          <a:ln>
                            <a:noFill/>
                          </a:ln>
                        </pic:spPr>
                      </pic:pic>
                    </a:graphicData>
                  </a:graphic>
                </wp:inline>
              </w:drawing>
            </w:r>
            <w:r w:rsidRPr="003249A9">
              <w:rPr>
                <w:rFonts w:cs="Arial"/>
                <w:b/>
              </w:rPr>
              <w:t xml:space="preserve"> </w:t>
            </w:r>
            <w:r w:rsidRPr="003249A9">
              <w:rPr>
                <w:rFonts w:cs="Arial"/>
                <w:b/>
                <w:noProof/>
              </w:rPr>
              <w:drawing>
                <wp:inline distT="0" distB="0" distL="0" distR="0" wp14:anchorId="608B5EDC" wp14:editId="608B5EDD">
                  <wp:extent cx="2638425" cy="1133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22024"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638425" cy="1133475"/>
                          </a:xfrm>
                          <a:prstGeom prst="rect">
                            <a:avLst/>
                          </a:prstGeom>
                          <a:noFill/>
                          <a:ln>
                            <a:noFill/>
                          </a:ln>
                        </pic:spPr>
                      </pic:pic>
                    </a:graphicData>
                  </a:graphic>
                </wp:inline>
              </w:drawing>
            </w:r>
          </w:p>
          <w:p w14:paraId="608B5CB6" w14:textId="77777777" w:rsidR="00D338A7" w:rsidRPr="003249A9" w:rsidRDefault="009B0817" w:rsidP="00D338A7">
            <w:pPr>
              <w:widowControl w:val="0"/>
              <w:spacing w:after="0" w:line="259" w:lineRule="auto"/>
              <w:contextualSpacing/>
              <w:outlineLvl w:val="0"/>
              <w:rPr>
                <w:rFonts w:cs="Arial"/>
                <w:b/>
                <w:color w:val="0094C8"/>
              </w:rPr>
            </w:pPr>
            <w:r w:rsidRPr="003249A9">
              <w:rPr>
                <w:rFonts w:cs="Arial"/>
                <w:b/>
                <w:color w:val="4E95C7"/>
              </w:rPr>
              <w:t>A COUNCIL THAT</w:t>
            </w:r>
            <w:r w:rsidRPr="003249A9">
              <w:rPr>
                <w:rFonts w:cs="Arial"/>
                <w:b/>
                <w:color w:val="0094C8"/>
              </w:rPr>
              <w:t>:</w:t>
            </w:r>
          </w:p>
          <w:p w14:paraId="608B5CB7" w14:textId="77777777" w:rsidR="00D338A7" w:rsidRPr="003249A9" w:rsidRDefault="00AC69EF" w:rsidP="00D338A7">
            <w:pPr>
              <w:widowControl w:val="0"/>
              <w:spacing w:after="0" w:line="259" w:lineRule="auto"/>
              <w:contextualSpacing/>
              <w:outlineLvl w:val="0"/>
              <w:rPr>
                <w:rFonts w:cs="Arial"/>
                <w:b/>
                <w:color w:val="0094C8"/>
              </w:rPr>
            </w:pPr>
          </w:p>
        </w:tc>
      </w:tr>
      <w:tr w:rsidR="00511E98" w14:paraId="608B5CBC" w14:textId="77777777" w:rsidTr="00D338A7">
        <w:trPr>
          <w:trHeight w:val="855"/>
        </w:trPr>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608B5CB9" w14:textId="77777777" w:rsidR="00D338A7" w:rsidRPr="003249A9" w:rsidRDefault="009B0817" w:rsidP="00D338A7">
            <w:pPr>
              <w:rPr>
                <w:b/>
                <w:bCs/>
                <w:color w:val="4E95C7"/>
              </w:rPr>
            </w:pPr>
            <w:r w:rsidRPr="003249A9">
              <w:rPr>
                <w:b/>
                <w:bCs/>
                <w:color w:val="4E95C7"/>
              </w:rPr>
              <w:t>Delivers high performing services that represent value for money</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608B5CBA" w14:textId="77777777" w:rsidR="00D338A7" w:rsidRPr="003249A9" w:rsidRDefault="009B0817" w:rsidP="00D338A7">
            <w:pPr>
              <w:rPr>
                <w:b/>
                <w:bCs/>
                <w:color w:val="4E95C7"/>
              </w:rPr>
            </w:pPr>
            <w:r w:rsidRPr="003249A9">
              <w:rPr>
                <w:b/>
                <w:bCs/>
                <w:color w:val="4E95C7"/>
              </w:rPr>
              <w:t>Understand the community and work with partners to make things better</w:t>
            </w:r>
          </w:p>
        </w:tc>
        <w:tc>
          <w:tcPr>
            <w:tcW w:w="3117" w:type="dxa"/>
            <w:tcBorders>
              <w:top w:val="single" w:sz="18" w:space="0" w:color="FFFFFF"/>
              <w:left w:val="single" w:sz="18" w:space="0" w:color="FFFFFF"/>
              <w:bottom w:val="single" w:sz="18" w:space="0" w:color="FFFFFF"/>
              <w:right w:val="single" w:sz="18" w:space="0" w:color="FFFFFF"/>
            </w:tcBorders>
            <w:shd w:val="clear" w:color="auto" w:fill="auto"/>
          </w:tcPr>
          <w:p w14:paraId="608B5CBB" w14:textId="77777777" w:rsidR="00D338A7" w:rsidRPr="003249A9" w:rsidRDefault="009B0817" w:rsidP="00D338A7">
            <w:pPr>
              <w:rPr>
                <w:b/>
                <w:bCs/>
                <w:color w:val="4E95C7"/>
              </w:rPr>
            </w:pPr>
            <w:r w:rsidRPr="003249A9">
              <w:rPr>
                <w:b/>
                <w:bCs/>
                <w:color w:val="4E95C7"/>
              </w:rPr>
              <w:t>Is open and transparent in its activities</w:t>
            </w:r>
          </w:p>
        </w:tc>
      </w:tr>
    </w:tbl>
    <w:bookmarkEnd w:id="2"/>
    <w:p w14:paraId="608B5CBD" w14:textId="77777777" w:rsidR="00D338A7" w:rsidRPr="003249A9" w:rsidRDefault="009B0817" w:rsidP="00D338A7">
      <w:pPr>
        <w:spacing w:before="100" w:beforeAutospacing="1" w:after="100" w:afterAutospacing="1" w:line="240" w:lineRule="auto"/>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t>Achievements this quarter</w:t>
      </w:r>
    </w:p>
    <w:p w14:paraId="608B5CBE"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The Annual Governance Statement (AGS) action plan continues to improve the transparency and openness of the Council.  Progress has been made on developing the Consultation Framework which is due to be formally signed off in September and will ensure a consistent approach to consultation with residents. The principles of the Key Partnerships and Contracts Framework were agreed at Governance Committee in March 2021 and were considered for approval by Cabinet in July 2021 and subsequently approved. The framework provides a robust approach to managing strategic contracts and partnerships. Work is also underway with updating the Officer Scheme of Delegation to reflect the recently adopted shared management structure. </w:t>
      </w:r>
    </w:p>
    <w:p w14:paraId="608B5CBF" w14:textId="77777777" w:rsidR="00D338A7" w:rsidRPr="003249A9" w:rsidRDefault="00AC69EF" w:rsidP="00D338A7">
      <w:pPr>
        <w:spacing w:after="0" w:line="240" w:lineRule="auto"/>
        <w:ind w:left="360"/>
        <w:contextualSpacing/>
        <w:rPr>
          <w:rFonts w:ascii="Arial" w:eastAsia="Calibri" w:hAnsi="Arial" w:cs="Times New Roman"/>
        </w:rPr>
      </w:pPr>
    </w:p>
    <w:p w14:paraId="608B5CC0"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The development of Shared Services has moved forward this quarter with the progression of a shared ICT service and shared Customer Services. The ICT management structure included the appointment of a service lead and three team leaders across both South Ribble and Chorley Councils. Proposals for the Customer Services management structure have been developed and presented to the Shared Services Joint Committee. Formal consultations have commenced for the Customer Service review, which includes briefings for all Customer Service staff. Staff and teams continue to be supported with organisational development activity as part of ensuring a positive culture.</w:t>
      </w:r>
    </w:p>
    <w:p w14:paraId="608B5CC1" w14:textId="77777777" w:rsidR="00D338A7" w:rsidRPr="003249A9" w:rsidRDefault="00AC69EF" w:rsidP="00D338A7">
      <w:pPr>
        <w:spacing w:after="160" w:line="259" w:lineRule="auto"/>
        <w:ind w:left="720"/>
        <w:contextualSpacing/>
        <w:rPr>
          <w:rFonts w:ascii="Arial" w:eastAsia="Calibri" w:hAnsi="Arial" w:cs="Times New Roman"/>
        </w:rPr>
      </w:pPr>
    </w:p>
    <w:p w14:paraId="608B5CC2"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The delivery of the first year of the Digital Strategy Action plan commenced in quarter one to further develop the use of digital, technology and data to improve services and deliver better outcomes for customers. The systems used in the contact centres for both Council’s have been reviewed and technologies aligned. ‘Anywhere 365’ software has been deployed to provide greater resilience and improved flexibility. The Customer Service agents now have increased access to call data which helps to improve advice and decision making to achieve a better customer experience. Telephony has been reviewed and Microsoft Teams, as the chosen solution, has been rolled out across both authorities. Trial meeting room technology has also been established for the Leader of the Council and is currently undergoing testing. </w:t>
      </w:r>
    </w:p>
    <w:p w14:paraId="608B5CC3" w14:textId="77777777" w:rsidR="00D338A7" w:rsidRPr="003249A9" w:rsidRDefault="00AC69EF" w:rsidP="00D338A7">
      <w:pPr>
        <w:spacing w:after="160" w:line="259" w:lineRule="auto"/>
        <w:ind w:left="720"/>
        <w:contextualSpacing/>
        <w:rPr>
          <w:rFonts w:ascii="Arial" w:eastAsia="Calibri" w:hAnsi="Arial" w:cs="Times New Roman"/>
        </w:rPr>
      </w:pPr>
    </w:p>
    <w:p w14:paraId="608B5CC4"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Partners from both South Ribble Partnership and the Chorley Public Service Reform Board formally agreed to establish a single strategic partnership that represents both Chorley and South Ribble districts. The partnership will strive to achieve better outcomes for residents from both districts, through the sharing of experience, resources, and knowledge. Following the workshop that took place in March 2021 a key objective has been the development of a strategy based around the following three themes; developing a locality model for service delivery, shared data and intelligence, and economic reform. Looking forward to the next quarter, a completed strategy and action plan will be presented for consideration by the newly formed partnership with the first meeting to take place in September 2021.</w:t>
      </w:r>
    </w:p>
    <w:p w14:paraId="608B5CC5" w14:textId="77777777" w:rsidR="00D338A7" w:rsidRPr="003249A9" w:rsidRDefault="009B0817" w:rsidP="00D338A7">
      <w:pPr>
        <w:spacing w:after="160" w:line="259" w:lineRule="auto"/>
        <w:ind w:left="720"/>
        <w:contextualSpacing/>
        <w:rPr>
          <w:rFonts w:ascii="Arial" w:eastAsia="Calibri" w:hAnsi="Arial" w:cs="Times New Roman"/>
        </w:rPr>
      </w:pPr>
      <w:r w:rsidRPr="003249A9">
        <w:rPr>
          <w:rFonts w:ascii="Arial" w:eastAsia="Calibri" w:hAnsi="Arial" w:cs="Times New Roman"/>
        </w:rPr>
        <w:t xml:space="preserve">  </w:t>
      </w:r>
    </w:p>
    <w:p w14:paraId="608B5CC6" w14:textId="77777777" w:rsidR="00D338A7" w:rsidRPr="003249A9" w:rsidRDefault="009B0817" w:rsidP="00D338A7">
      <w:pPr>
        <w:numPr>
          <w:ilvl w:val="0"/>
          <w:numId w:val="8"/>
        </w:numPr>
        <w:spacing w:after="160" w:line="259" w:lineRule="auto"/>
        <w:contextualSpacing/>
        <w:rPr>
          <w:rFonts w:ascii="Arial" w:eastAsia="Calibri" w:hAnsi="Arial" w:cs="Arial"/>
        </w:rPr>
      </w:pPr>
      <w:r w:rsidRPr="003249A9">
        <w:rPr>
          <w:rFonts w:ascii="Arial" w:eastAsia="Calibri" w:hAnsi="Arial" w:cs="Arial"/>
        </w:rPr>
        <w:t>Of the four projects within this priority, three are rated green and one is rated amber.</w:t>
      </w:r>
    </w:p>
    <w:tbl>
      <w:tblPr>
        <w:tblpPr w:leftFromText="180" w:rightFromText="180" w:vertAnchor="text" w:horzAnchor="page" w:tblpX="1534" w:tblpY="208"/>
        <w:tblOverlap w:val="never"/>
        <w:tblW w:w="9424" w:type="dxa"/>
        <w:tblLook w:val="04A0" w:firstRow="1" w:lastRow="0" w:firstColumn="1" w:lastColumn="0" w:noHBand="0" w:noVBand="1"/>
      </w:tblPr>
      <w:tblGrid>
        <w:gridCol w:w="7225"/>
        <w:gridCol w:w="2199"/>
      </w:tblGrid>
      <w:tr w:rsidR="00511E98" w14:paraId="608B5CC9" w14:textId="77777777" w:rsidTr="00D338A7">
        <w:trPr>
          <w:trHeight w:val="276"/>
        </w:trPr>
        <w:tc>
          <w:tcPr>
            <w:tcW w:w="7225" w:type="dxa"/>
            <w:tcBorders>
              <w:top w:val="single" w:sz="4" w:space="0" w:color="auto"/>
              <w:left w:val="single" w:sz="4" w:space="0" w:color="auto"/>
              <w:right w:val="single" w:sz="4" w:space="0" w:color="auto"/>
            </w:tcBorders>
            <w:shd w:val="clear" w:color="auto" w:fill="BFBFBF"/>
            <w:vAlign w:val="center"/>
          </w:tcPr>
          <w:p w14:paraId="608B5CC7" w14:textId="77777777" w:rsidR="00D338A7" w:rsidRPr="003249A9" w:rsidRDefault="00AC69EF" w:rsidP="00D338A7">
            <w:pPr>
              <w:spacing w:after="0" w:line="240" w:lineRule="auto"/>
              <w:rPr>
                <w:rFonts w:ascii="Arial" w:eastAsia="Times New Roman" w:hAnsi="Arial" w:cs="Arial"/>
                <w:b/>
                <w:szCs w:val="20"/>
                <w:lang w:eastAsia="en-GB"/>
              </w:rPr>
            </w:pPr>
          </w:p>
        </w:tc>
        <w:tc>
          <w:tcPr>
            <w:tcW w:w="2199" w:type="dxa"/>
            <w:tcBorders>
              <w:top w:val="single" w:sz="4" w:space="0" w:color="auto"/>
              <w:left w:val="single" w:sz="4" w:space="0" w:color="auto"/>
              <w:right w:val="single" w:sz="4" w:space="0" w:color="auto"/>
            </w:tcBorders>
            <w:shd w:val="clear" w:color="auto" w:fill="BFBFBF"/>
            <w:vAlign w:val="center"/>
          </w:tcPr>
          <w:p w14:paraId="608B5CC8"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2021-22</w:t>
            </w:r>
          </w:p>
        </w:tc>
      </w:tr>
      <w:tr w:rsidR="00511E98" w14:paraId="608B5CCD" w14:textId="77777777" w:rsidTr="00D338A7">
        <w:trPr>
          <w:trHeight w:val="468"/>
        </w:trPr>
        <w:tc>
          <w:tcPr>
            <w:tcW w:w="7225" w:type="dxa"/>
            <w:tcBorders>
              <w:left w:val="single" w:sz="4" w:space="0" w:color="auto"/>
              <w:bottom w:val="single" w:sz="4" w:space="0" w:color="auto"/>
              <w:right w:val="single" w:sz="4" w:space="0" w:color="auto"/>
            </w:tcBorders>
            <w:shd w:val="clear" w:color="auto" w:fill="BFBFBF"/>
            <w:vAlign w:val="center"/>
          </w:tcPr>
          <w:p w14:paraId="608B5CCA" w14:textId="77777777" w:rsidR="00D338A7" w:rsidRPr="003249A9" w:rsidRDefault="009B0817" w:rsidP="00D338A7">
            <w:pPr>
              <w:spacing w:after="0" w:line="240" w:lineRule="auto"/>
              <w:rPr>
                <w:rFonts w:ascii="Arial" w:eastAsia="Times New Roman" w:hAnsi="Arial" w:cs="Arial"/>
                <w:b/>
                <w:szCs w:val="20"/>
                <w:lang w:eastAsia="en-GB"/>
              </w:rPr>
            </w:pPr>
            <w:r w:rsidRPr="003249A9">
              <w:rPr>
                <w:rFonts w:ascii="Arial" w:eastAsia="Times New Roman" w:hAnsi="Arial" w:cs="Arial"/>
                <w:b/>
                <w:szCs w:val="20"/>
                <w:lang w:eastAsia="en-GB"/>
              </w:rPr>
              <w:t>Projects</w:t>
            </w:r>
          </w:p>
        </w:tc>
        <w:tc>
          <w:tcPr>
            <w:tcW w:w="2199" w:type="dxa"/>
            <w:tcBorders>
              <w:left w:val="single" w:sz="4" w:space="0" w:color="auto"/>
              <w:bottom w:val="single" w:sz="4" w:space="0" w:color="auto"/>
              <w:right w:val="single" w:sz="4" w:space="0" w:color="auto"/>
            </w:tcBorders>
            <w:shd w:val="clear" w:color="auto" w:fill="BFBFBF"/>
            <w:vAlign w:val="center"/>
          </w:tcPr>
          <w:p w14:paraId="608B5CCB"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Quarter 1</w:t>
            </w:r>
          </w:p>
          <w:p w14:paraId="608B5CCC"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(Apr – Jun)</w:t>
            </w:r>
          </w:p>
        </w:tc>
      </w:tr>
      <w:tr w:rsidR="00511E98" w14:paraId="608B5CD0" w14:textId="77777777" w:rsidTr="00D338A7">
        <w:trPr>
          <w:trHeight w:val="477"/>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608B5CCE" w14:textId="77777777" w:rsidR="00D338A7" w:rsidRPr="003249A9" w:rsidRDefault="009B0817" w:rsidP="00D338A7">
            <w:pPr>
              <w:spacing w:after="0" w:line="240" w:lineRule="auto"/>
              <w:rPr>
                <w:rFonts w:ascii="Arial" w:eastAsia="Times New Roman" w:hAnsi="Arial" w:cs="Arial"/>
                <w:szCs w:val="20"/>
                <w:lang w:eastAsia="en-GB"/>
              </w:rPr>
            </w:pPr>
            <w:r w:rsidRPr="003249A9">
              <w:rPr>
                <w:rFonts w:ascii="Arial" w:eastAsia="Times New Roman" w:hAnsi="Arial" w:cs="Times New Roman"/>
                <w:b/>
                <w:szCs w:val="20"/>
                <w:lang w:eastAsia="en-GB"/>
              </w:rPr>
              <w:t>Deliver the Annual Governance Statement Action Plan</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608B5CCF"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R="00511E98" w14:paraId="608B5CD3" w14:textId="77777777" w:rsidTr="00D338A7">
        <w:trPr>
          <w:trHeight w:val="468"/>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608B5CD1" w14:textId="77777777" w:rsidR="00D338A7" w:rsidRPr="003249A9" w:rsidRDefault="009B0817"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Transform the way the council operates</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608B5CD2"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R="00511E98" w14:paraId="608B5CD6" w14:textId="77777777" w:rsidTr="00D338A7">
        <w:trPr>
          <w:trHeight w:val="468"/>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608B5CD4" w14:textId="77777777" w:rsidR="00D338A7" w:rsidRPr="003249A9" w:rsidRDefault="009B0817"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Work with partners to design and deliver better public service:</w:t>
            </w:r>
          </w:p>
        </w:tc>
        <w:tc>
          <w:tcPr>
            <w:tcW w:w="2199" w:type="dxa"/>
            <w:tcBorders>
              <w:top w:val="single" w:sz="4" w:space="0" w:color="auto"/>
              <w:left w:val="single" w:sz="4" w:space="0" w:color="auto"/>
              <w:bottom w:val="single" w:sz="4" w:space="0" w:color="auto"/>
              <w:right w:val="single" w:sz="4" w:space="0" w:color="auto"/>
            </w:tcBorders>
            <w:shd w:val="clear" w:color="auto" w:fill="92D050"/>
            <w:vAlign w:val="center"/>
          </w:tcPr>
          <w:p w14:paraId="608B5CD5"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R="00511E98" w14:paraId="608B5CD9" w14:textId="77777777" w:rsidTr="00D338A7">
        <w:trPr>
          <w:trHeight w:val="534"/>
        </w:trPr>
        <w:tc>
          <w:tcPr>
            <w:tcW w:w="7225" w:type="dxa"/>
            <w:tcBorders>
              <w:top w:val="single" w:sz="4" w:space="0" w:color="auto"/>
              <w:left w:val="single" w:sz="4" w:space="0" w:color="auto"/>
              <w:bottom w:val="single" w:sz="4" w:space="0" w:color="auto"/>
              <w:right w:val="single" w:sz="4" w:space="0" w:color="auto"/>
            </w:tcBorders>
            <w:shd w:val="clear" w:color="auto" w:fill="auto"/>
            <w:vAlign w:val="center"/>
          </w:tcPr>
          <w:p w14:paraId="608B5CD7" w14:textId="77777777" w:rsidR="00D338A7" w:rsidRPr="003249A9" w:rsidRDefault="009B0817"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Deliver year one of the joint digital strategy</w:t>
            </w:r>
          </w:p>
        </w:tc>
        <w:tc>
          <w:tcPr>
            <w:tcW w:w="2199" w:type="dxa"/>
            <w:tcBorders>
              <w:top w:val="single" w:sz="4" w:space="0" w:color="auto"/>
              <w:left w:val="single" w:sz="4" w:space="0" w:color="auto"/>
              <w:bottom w:val="single" w:sz="4" w:space="0" w:color="auto"/>
              <w:right w:val="single" w:sz="4" w:space="0" w:color="auto"/>
            </w:tcBorders>
            <w:shd w:val="clear" w:color="auto" w:fill="FFC000"/>
            <w:vAlign w:val="center"/>
          </w:tcPr>
          <w:p w14:paraId="608B5CD8" w14:textId="77777777" w:rsidR="00D338A7" w:rsidRPr="003249A9" w:rsidRDefault="009B0817" w:rsidP="00D338A7">
            <w:pPr>
              <w:spacing w:after="0" w:line="240" w:lineRule="auto"/>
              <w:jc w:val="center"/>
              <w:rPr>
                <w:rFonts w:ascii="Arial" w:eastAsia="Times New Roman" w:hAnsi="Arial" w:cs="Arial"/>
                <w:b/>
                <w:bCs/>
                <w:noProof/>
                <w:color w:val="7F7F7F"/>
                <w:szCs w:val="20"/>
                <w:lang w:eastAsia="en-GB"/>
              </w:rPr>
            </w:pPr>
            <w:r w:rsidRPr="003249A9">
              <w:rPr>
                <w:rFonts w:ascii="Arial" w:eastAsia="Times New Roman" w:hAnsi="Arial" w:cs="Arial"/>
                <w:b/>
                <w:bCs/>
                <w:noProof/>
                <w:color w:val="FFFFFF" w:themeColor="background1"/>
                <w:szCs w:val="20"/>
                <w:lang w:eastAsia="en-GB"/>
              </w:rPr>
              <w:t>Amber</w:t>
            </w:r>
          </w:p>
        </w:tc>
      </w:tr>
    </w:tbl>
    <w:p w14:paraId="608B5CDA" w14:textId="77777777" w:rsidR="00D338A7" w:rsidRPr="003249A9" w:rsidRDefault="00AC69EF" w:rsidP="00D338A7">
      <w:pPr>
        <w:rPr>
          <w:rFonts w:ascii="Arial" w:eastAsia="Calibri" w:hAnsi="Arial" w:cs="Arial"/>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668"/>
        <w:gridCol w:w="2127"/>
      </w:tblGrid>
      <w:tr w:rsidR="00511E98" w14:paraId="608B5CDE" w14:textId="77777777" w:rsidTr="00D338A7">
        <w:trPr>
          <w:trHeight w:val="1479"/>
        </w:trPr>
        <w:tc>
          <w:tcPr>
            <w:tcW w:w="7229" w:type="dxa"/>
            <w:gridSpan w:val="2"/>
            <w:shd w:val="clear" w:color="auto" w:fill="auto"/>
            <w:vAlign w:val="center"/>
          </w:tcPr>
          <w:p w14:paraId="608B5CDB" w14:textId="77777777" w:rsidR="00D338A7" w:rsidRPr="003249A9" w:rsidRDefault="009B0817" w:rsidP="00D338A7">
            <w:pPr>
              <w:widowControl w:val="0"/>
              <w:rPr>
                <w:rFonts w:eastAsia="Calibri"/>
                <w:b/>
              </w:rPr>
            </w:pPr>
            <w:r w:rsidRPr="003249A9">
              <w:rPr>
                <w:rFonts w:ascii="Arial" w:eastAsia="Times New Roman" w:hAnsi="Arial" w:cs="Arial"/>
                <w:b/>
                <w:bCs/>
                <w:szCs w:val="20"/>
                <w:lang w:eastAsia="en-GB"/>
              </w:rPr>
              <w:t>Deliver year one of the joint digital strategy</w:t>
            </w:r>
            <w:r w:rsidRPr="003249A9">
              <w:rPr>
                <w:rFonts w:eastAsia="Calibri"/>
                <w:b/>
              </w:rPr>
              <w:t>:</w:t>
            </w:r>
          </w:p>
          <w:p w14:paraId="608B5CDC" w14:textId="77777777" w:rsidR="00D338A7" w:rsidRPr="003249A9" w:rsidRDefault="009B0817" w:rsidP="00D338A7">
            <w:pPr>
              <w:widowControl w:val="0"/>
              <w:spacing w:after="0" w:line="240" w:lineRule="auto"/>
              <w:rPr>
                <w:bCs/>
              </w:rPr>
            </w:pPr>
            <w:r w:rsidRPr="003249A9">
              <w:rPr>
                <w:bCs/>
              </w:rPr>
              <w:t>The strategy focuses on harnessing the potential of new technologies, whilst maximising the use of existing technologies to provide a customer focused approach to service delivery.</w:t>
            </w:r>
          </w:p>
        </w:tc>
        <w:tc>
          <w:tcPr>
            <w:tcW w:w="2127" w:type="dxa"/>
            <w:shd w:val="clear" w:color="auto" w:fill="FFC000"/>
            <w:vAlign w:val="center"/>
          </w:tcPr>
          <w:p w14:paraId="608B5CDD" w14:textId="77777777" w:rsidR="00D338A7" w:rsidRPr="003249A9" w:rsidRDefault="009B0817" w:rsidP="00D338A7">
            <w:pPr>
              <w:widowControl w:val="0"/>
              <w:spacing w:after="0" w:line="259" w:lineRule="auto"/>
              <w:contextualSpacing/>
              <w:jc w:val="center"/>
              <w:outlineLvl w:val="0"/>
              <w:rPr>
                <w:b/>
                <w:color w:val="FFC000"/>
              </w:rPr>
            </w:pPr>
            <w:r w:rsidRPr="003249A9">
              <w:rPr>
                <w:b/>
                <w:bCs/>
                <w:color w:val="FFFFFF" w:themeColor="background1"/>
                <w:sz w:val="24"/>
                <w:szCs w:val="24"/>
              </w:rPr>
              <w:t>AMBER</w:t>
            </w:r>
          </w:p>
        </w:tc>
      </w:tr>
      <w:tr w:rsidR="00511E98" w14:paraId="608B5CE1" w14:textId="77777777" w:rsidTr="00D338A7">
        <w:trPr>
          <w:cantSplit/>
          <w:trHeight w:val="1189"/>
        </w:trPr>
        <w:tc>
          <w:tcPr>
            <w:tcW w:w="1561" w:type="dxa"/>
            <w:shd w:val="clear" w:color="auto" w:fill="auto"/>
            <w:vAlign w:val="center"/>
          </w:tcPr>
          <w:p w14:paraId="608B5CDF" w14:textId="77777777" w:rsidR="00D338A7" w:rsidRPr="003249A9" w:rsidRDefault="009B0817" w:rsidP="00D338A7">
            <w:pPr>
              <w:widowControl w:val="0"/>
              <w:rPr>
                <w:b/>
                <w:bCs/>
                <w:color w:val="FF0000"/>
              </w:rPr>
            </w:pPr>
            <w:r w:rsidRPr="003249A9">
              <w:rPr>
                <w:b/>
                <w:bCs/>
              </w:rPr>
              <w:t>Issue:</w:t>
            </w:r>
          </w:p>
        </w:tc>
        <w:tc>
          <w:tcPr>
            <w:tcW w:w="7795" w:type="dxa"/>
            <w:gridSpan w:val="2"/>
            <w:shd w:val="clear" w:color="auto" w:fill="auto"/>
            <w:vAlign w:val="center"/>
          </w:tcPr>
          <w:p w14:paraId="608B5CE0" w14:textId="77777777" w:rsidR="00D338A7" w:rsidRPr="003249A9" w:rsidRDefault="009B0817" w:rsidP="00D338A7">
            <w:pPr>
              <w:widowControl w:val="0"/>
              <w:rPr>
                <w:rFonts w:eastAsia="Calibri" w:cs="Arial"/>
                <w:bCs/>
              </w:rPr>
            </w:pPr>
            <w:r w:rsidRPr="003249A9">
              <w:rPr>
                <w:rFonts w:eastAsia="Calibri" w:cs="Arial"/>
                <w:bCs/>
              </w:rPr>
              <w:t xml:space="preserve">The ICT service across both authorities have had several vacancies resulting in  skills and knowledge gaps which will be fundamental in the delivery of the Joint Digital Strategy project. There are a number of workstreams within the strategy that need to be further scoped and resourced to ensure successful delivery. </w:t>
            </w:r>
          </w:p>
        </w:tc>
      </w:tr>
      <w:tr w:rsidR="00511E98" w14:paraId="608B5CE4" w14:textId="77777777" w:rsidTr="00D338A7">
        <w:trPr>
          <w:cantSplit/>
          <w:trHeight w:val="1573"/>
        </w:trPr>
        <w:tc>
          <w:tcPr>
            <w:tcW w:w="1561" w:type="dxa"/>
            <w:shd w:val="clear" w:color="auto" w:fill="auto"/>
            <w:vAlign w:val="center"/>
          </w:tcPr>
          <w:p w14:paraId="608B5CE2" w14:textId="77777777" w:rsidR="00D338A7" w:rsidRPr="003249A9" w:rsidRDefault="009B0817" w:rsidP="00D338A7">
            <w:pPr>
              <w:widowControl w:val="0"/>
            </w:pPr>
            <w:r w:rsidRPr="003249A9">
              <w:rPr>
                <w:b/>
                <w:bCs/>
              </w:rPr>
              <w:t xml:space="preserve">Actions Plan -What will be done: </w:t>
            </w:r>
          </w:p>
        </w:tc>
        <w:tc>
          <w:tcPr>
            <w:tcW w:w="7795" w:type="dxa"/>
            <w:gridSpan w:val="2"/>
            <w:shd w:val="clear" w:color="auto" w:fill="auto"/>
            <w:vAlign w:val="center"/>
          </w:tcPr>
          <w:p w14:paraId="608B5CE3" w14:textId="77777777" w:rsidR="00D338A7" w:rsidRPr="003249A9" w:rsidRDefault="009B0817" w:rsidP="00D338A7">
            <w:pPr>
              <w:spacing w:after="0" w:line="240" w:lineRule="auto"/>
              <w:rPr>
                <w:rFonts w:ascii="Times New Roman" w:hAnsi="Times New Roman" w:cs="Times New Roman"/>
                <w:sz w:val="24"/>
                <w:szCs w:val="24"/>
                <w:lang w:eastAsia="en-GB"/>
              </w:rPr>
            </w:pPr>
            <w:r w:rsidRPr="003249A9">
              <w:rPr>
                <w:rFonts w:eastAsia="Calibri" w:cs="Arial"/>
                <w:bCs/>
              </w:rPr>
              <w:t xml:space="preserve">The ICT service is currently going through a service review as part of shared services.  The ICT service review will help bring this project back on track by ensuring that there is the necessary capacity, resources and skills in place to deliver all elements of the Digital Strategy. </w:t>
            </w:r>
          </w:p>
        </w:tc>
      </w:tr>
    </w:tbl>
    <w:p w14:paraId="608B5CE5" w14:textId="77777777" w:rsidR="00D338A7" w:rsidRPr="003249A9" w:rsidRDefault="009B0817" w:rsidP="00D338A7">
      <w:pPr>
        <w:spacing w:before="100" w:beforeAutospacing="1" w:after="100" w:afterAutospacing="1" w:line="240" w:lineRule="auto"/>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t>Key Performance Indicators</w:t>
      </w:r>
    </w:p>
    <w:p w14:paraId="608B5CE6" w14:textId="77777777" w:rsidR="00D338A7" w:rsidRPr="003249A9" w:rsidRDefault="009B0817" w:rsidP="00D338A7">
      <w:pPr>
        <w:numPr>
          <w:ilvl w:val="0"/>
          <w:numId w:val="8"/>
        </w:numPr>
        <w:spacing w:after="160" w:line="259" w:lineRule="auto"/>
        <w:contextualSpacing/>
        <w:rPr>
          <w:rFonts w:ascii="Arial" w:eastAsia="Calibri" w:hAnsi="Arial" w:cs="Arial"/>
        </w:rPr>
      </w:pPr>
      <w:r w:rsidRPr="003249A9">
        <w:rPr>
          <w:rFonts w:ascii="Arial" w:eastAsia="Calibri" w:hAnsi="Arial" w:cs="Arial"/>
        </w:rPr>
        <w:t>Of the five performance measures reported under this outcome, two are due to be reported this quarter, one is rated green and one is rated red. A full list of the performance indicators is included in Appendix 1.</w:t>
      </w:r>
    </w:p>
    <w:p w14:paraId="608B5CE7" w14:textId="77777777" w:rsidR="00D338A7" w:rsidRPr="003249A9" w:rsidRDefault="009B0817" w:rsidP="00D338A7">
      <w:pPr>
        <w:spacing w:after="0" w:line="240" w:lineRule="auto"/>
        <w:ind w:left="720"/>
        <w:rPr>
          <w:rFonts w:ascii="Arial" w:eastAsia="Calibri" w:hAnsi="Arial" w:cs="Times New Roman"/>
        </w:rPr>
      </w:pPr>
      <w:bookmarkStart w:id="3" w:name="_Hlk80188831"/>
      <w:r w:rsidRPr="003249A9">
        <w:rPr>
          <w:rFonts w:ascii="Arial" w:eastAsia="Calibri" w:hAnsi="Arial" w:cs="Times New Roman"/>
        </w:rPr>
        <w:t>The green rated measure is as below:</w:t>
      </w:r>
    </w:p>
    <w:bookmarkEnd w:id="3"/>
    <w:p w14:paraId="608B5CE8" w14:textId="77777777" w:rsidR="00D338A7" w:rsidRPr="003249A9" w:rsidRDefault="00AC69EF" w:rsidP="00D338A7">
      <w:pPr>
        <w:spacing w:after="0" w:line="240" w:lineRule="auto"/>
        <w:ind w:left="720"/>
        <w:contextualSpacing/>
        <w:rPr>
          <w:rFonts w:ascii="Arial" w:eastAsia="Calibri" w:hAnsi="Arial" w:cs="Times New Roman"/>
        </w:rPr>
      </w:pPr>
    </w:p>
    <w:p w14:paraId="608B5CE9"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The percentage of households living in fuel poverty will be better than the North West average</w:t>
      </w:r>
    </w:p>
    <w:p w14:paraId="608B5CEA" w14:textId="77777777" w:rsidR="00D338A7" w:rsidRPr="003249A9" w:rsidRDefault="00AC69EF" w:rsidP="00D338A7">
      <w:pPr>
        <w:spacing w:after="0" w:line="240" w:lineRule="auto"/>
        <w:ind w:left="1440"/>
        <w:contextualSpacing/>
        <w:rPr>
          <w:rFonts w:ascii="Arial" w:eastAsia="Calibri" w:hAnsi="Arial" w:cs="Times New Roman"/>
        </w:rPr>
      </w:pPr>
    </w:p>
    <w:p w14:paraId="608B5CEB" w14:textId="77777777" w:rsidR="00D338A7" w:rsidRPr="003249A9" w:rsidRDefault="009B0817" w:rsidP="00D338A7">
      <w:pPr>
        <w:spacing w:after="0" w:line="240" w:lineRule="auto"/>
        <w:rPr>
          <w:rFonts w:ascii="Arial" w:eastAsia="Calibri" w:hAnsi="Arial" w:cs="Times New Roman"/>
        </w:rPr>
      </w:pPr>
      <w:r w:rsidRPr="003249A9">
        <w:rPr>
          <w:rFonts w:ascii="Arial" w:eastAsia="Calibri" w:hAnsi="Arial" w:cs="Times New Roman"/>
        </w:rPr>
        <w:t>The red rated measure is as below:</w:t>
      </w:r>
    </w:p>
    <w:p w14:paraId="608B5CEC" w14:textId="77777777" w:rsidR="00D338A7" w:rsidRPr="003249A9" w:rsidRDefault="00AC69EF" w:rsidP="00D338A7">
      <w:pPr>
        <w:spacing w:after="0" w:line="240" w:lineRule="auto"/>
        <w:rPr>
          <w:rFonts w:ascii="Arial" w:eastAsia="Calibri" w:hAnsi="Arial" w:cs="Times New Roman"/>
        </w:rPr>
      </w:pPr>
    </w:p>
    <w:p w14:paraId="608B5CED"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At least 40% of service requests will be received via self-service channels</w:t>
      </w:r>
    </w:p>
    <w:p w14:paraId="608B5CEE" w14:textId="77777777" w:rsidR="00D338A7" w:rsidRPr="003249A9" w:rsidRDefault="00AC69EF" w:rsidP="00D338A7">
      <w:pPr>
        <w:spacing w:after="0" w:line="240" w:lineRule="auto"/>
        <w:contextualSpacing/>
        <w:rPr>
          <w:rFonts w:ascii="Arial" w:eastAsia="Calibri" w:hAnsi="Arial" w:cs="Arial"/>
        </w:rPr>
      </w:pPr>
    </w:p>
    <w:tbl>
      <w:tblPr>
        <w:tblpPr w:leftFromText="180" w:rightFromText="180" w:vertAnchor="text" w:horzAnchor="margin" w:tblpX="124" w:tblpY="1"/>
        <w:tblOverlap w:val="neve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6"/>
        <w:gridCol w:w="1010"/>
        <w:gridCol w:w="1560"/>
        <w:gridCol w:w="1275"/>
        <w:gridCol w:w="1125"/>
        <w:gridCol w:w="1266"/>
        <w:gridCol w:w="21"/>
      </w:tblGrid>
      <w:tr w:rsidR="00511E98" w14:paraId="608B5CF6" w14:textId="77777777" w:rsidTr="00D338A7">
        <w:trPr>
          <w:gridAfter w:val="1"/>
          <w:wAfter w:w="21" w:type="dxa"/>
          <w:trHeight w:val="254"/>
        </w:trPr>
        <w:tc>
          <w:tcPr>
            <w:tcW w:w="3096" w:type="dxa"/>
            <w:shd w:val="clear" w:color="auto" w:fill="BFBFBF"/>
            <w:vAlign w:val="center"/>
          </w:tcPr>
          <w:p w14:paraId="608B5CEF" w14:textId="77777777" w:rsidR="00D338A7" w:rsidRPr="003249A9" w:rsidRDefault="009B0817" w:rsidP="00D338A7">
            <w:pPr>
              <w:widowControl w:val="0"/>
              <w:spacing w:after="160" w:line="259" w:lineRule="auto"/>
              <w:contextualSpacing/>
              <w:outlineLvl w:val="0"/>
              <w:rPr>
                <w:b/>
                <w:bCs/>
              </w:rPr>
            </w:pPr>
            <w:r w:rsidRPr="003249A9">
              <w:rPr>
                <w:b/>
                <w:bCs/>
              </w:rPr>
              <w:t>Key Performance Indicator</w:t>
            </w:r>
          </w:p>
        </w:tc>
        <w:tc>
          <w:tcPr>
            <w:tcW w:w="1010" w:type="dxa"/>
            <w:shd w:val="clear" w:color="auto" w:fill="BFBFBF"/>
            <w:vAlign w:val="center"/>
          </w:tcPr>
          <w:p w14:paraId="608B5CF0" w14:textId="77777777" w:rsidR="00D338A7" w:rsidRPr="003249A9" w:rsidRDefault="009B0817" w:rsidP="00D338A7">
            <w:pPr>
              <w:widowControl w:val="0"/>
              <w:spacing w:after="0" w:line="257" w:lineRule="auto"/>
              <w:jc w:val="center"/>
              <w:outlineLvl w:val="0"/>
              <w:rPr>
                <w:b/>
                <w:bCs/>
              </w:rPr>
            </w:pPr>
            <w:r w:rsidRPr="003249A9">
              <w:rPr>
                <w:b/>
                <w:bCs/>
              </w:rPr>
              <w:t>Target</w:t>
            </w:r>
          </w:p>
        </w:tc>
        <w:tc>
          <w:tcPr>
            <w:tcW w:w="1560" w:type="dxa"/>
            <w:shd w:val="clear" w:color="auto" w:fill="BFBFBF"/>
            <w:vAlign w:val="center"/>
          </w:tcPr>
          <w:p w14:paraId="608B5CF1" w14:textId="77777777" w:rsidR="00D338A7" w:rsidRPr="003249A9" w:rsidRDefault="009B0817" w:rsidP="00D338A7">
            <w:pPr>
              <w:widowControl w:val="0"/>
              <w:spacing w:after="0" w:line="257" w:lineRule="auto"/>
              <w:jc w:val="center"/>
              <w:outlineLvl w:val="0"/>
              <w:rPr>
                <w:b/>
                <w:bCs/>
              </w:rPr>
            </w:pPr>
            <w:r w:rsidRPr="003249A9">
              <w:rPr>
                <w:b/>
                <w:bCs/>
              </w:rPr>
              <w:t>Comparable Period</w:t>
            </w:r>
          </w:p>
        </w:tc>
        <w:tc>
          <w:tcPr>
            <w:tcW w:w="1275" w:type="dxa"/>
            <w:shd w:val="clear" w:color="auto" w:fill="BFBFBF"/>
            <w:vAlign w:val="center"/>
          </w:tcPr>
          <w:p w14:paraId="608B5CF2" w14:textId="77777777" w:rsidR="00D338A7" w:rsidRPr="003249A9" w:rsidRDefault="009B0817" w:rsidP="00D338A7">
            <w:pPr>
              <w:widowControl w:val="0"/>
              <w:spacing w:after="0" w:line="240" w:lineRule="auto"/>
              <w:contextualSpacing/>
              <w:jc w:val="center"/>
              <w:outlineLvl w:val="0"/>
              <w:rPr>
                <w:rFonts w:eastAsia="Calibri" w:cs="Times New Roman"/>
                <w:b/>
                <w:bCs/>
              </w:rPr>
            </w:pPr>
            <w:r w:rsidRPr="003249A9">
              <w:rPr>
                <w:rFonts w:eastAsia="Calibri" w:cs="Times New Roman"/>
                <w:b/>
                <w:bCs/>
              </w:rPr>
              <w:t>Quarter 1</w:t>
            </w:r>
          </w:p>
          <w:p w14:paraId="608B5CF3" w14:textId="77777777" w:rsidR="00D338A7" w:rsidRPr="003249A9" w:rsidRDefault="009B0817" w:rsidP="00D338A7">
            <w:pPr>
              <w:widowControl w:val="0"/>
              <w:spacing w:after="0" w:line="240" w:lineRule="auto"/>
              <w:contextualSpacing/>
              <w:jc w:val="center"/>
              <w:outlineLvl w:val="0"/>
              <w:rPr>
                <w:b/>
                <w:bCs/>
              </w:rPr>
            </w:pPr>
            <w:r w:rsidRPr="003249A9">
              <w:rPr>
                <w:rFonts w:eastAsia="Calibri" w:cs="Times New Roman"/>
                <w:b/>
                <w:bCs/>
              </w:rPr>
              <w:t>2020/21</w:t>
            </w:r>
          </w:p>
        </w:tc>
        <w:tc>
          <w:tcPr>
            <w:tcW w:w="1125" w:type="dxa"/>
            <w:shd w:val="clear" w:color="auto" w:fill="BFBFBF"/>
            <w:vAlign w:val="center"/>
          </w:tcPr>
          <w:p w14:paraId="608B5CF4" w14:textId="77777777" w:rsidR="00D338A7" w:rsidRPr="003249A9" w:rsidRDefault="009B0817" w:rsidP="00D338A7">
            <w:pPr>
              <w:widowControl w:val="0"/>
              <w:spacing w:after="0" w:line="257" w:lineRule="auto"/>
              <w:jc w:val="center"/>
              <w:outlineLvl w:val="0"/>
              <w:rPr>
                <w:b/>
                <w:bCs/>
              </w:rPr>
            </w:pPr>
            <w:r w:rsidRPr="003249A9">
              <w:rPr>
                <w:b/>
                <w:bCs/>
              </w:rPr>
              <w:t xml:space="preserve">Symbol </w:t>
            </w:r>
          </w:p>
        </w:tc>
        <w:tc>
          <w:tcPr>
            <w:tcW w:w="1266" w:type="dxa"/>
            <w:shd w:val="clear" w:color="auto" w:fill="BFBFBF"/>
            <w:vAlign w:val="center"/>
          </w:tcPr>
          <w:p w14:paraId="608B5CF5" w14:textId="77777777" w:rsidR="00D338A7" w:rsidRPr="003249A9" w:rsidRDefault="009B0817" w:rsidP="00D338A7">
            <w:pPr>
              <w:widowControl w:val="0"/>
              <w:spacing w:after="0" w:line="257" w:lineRule="auto"/>
              <w:jc w:val="center"/>
              <w:outlineLvl w:val="0"/>
              <w:rPr>
                <w:b/>
                <w:bCs/>
              </w:rPr>
            </w:pPr>
            <w:r w:rsidRPr="003249A9">
              <w:rPr>
                <w:b/>
                <w:bCs/>
              </w:rPr>
              <w:t>Trend</w:t>
            </w:r>
          </w:p>
        </w:tc>
      </w:tr>
      <w:tr w:rsidR="00511E98" w14:paraId="608B5CFE" w14:textId="77777777" w:rsidTr="00D338A7">
        <w:trPr>
          <w:gridAfter w:val="1"/>
          <w:wAfter w:w="21" w:type="dxa"/>
          <w:trHeight w:val="834"/>
        </w:trPr>
        <w:tc>
          <w:tcPr>
            <w:tcW w:w="3096" w:type="dxa"/>
            <w:shd w:val="clear" w:color="auto" w:fill="auto"/>
            <w:vAlign w:val="center"/>
          </w:tcPr>
          <w:p w14:paraId="608B5CF7" w14:textId="77777777" w:rsidR="00D338A7" w:rsidRPr="003249A9" w:rsidRDefault="009B0817" w:rsidP="00D338A7">
            <w:pPr>
              <w:widowControl w:val="0"/>
              <w:spacing w:after="0" w:line="259" w:lineRule="auto"/>
              <w:contextualSpacing/>
              <w:outlineLvl w:val="0"/>
            </w:pPr>
            <w:r w:rsidRPr="003249A9">
              <w:rPr>
                <w:rFonts w:eastAsia="Calibri" w:cs="Times New Roman"/>
              </w:rPr>
              <w:t>At least 40% of service requests will be received via self-service channels</w:t>
            </w:r>
          </w:p>
        </w:tc>
        <w:tc>
          <w:tcPr>
            <w:tcW w:w="1010" w:type="dxa"/>
            <w:shd w:val="clear" w:color="auto" w:fill="auto"/>
            <w:vAlign w:val="center"/>
          </w:tcPr>
          <w:p w14:paraId="608B5CF8" w14:textId="77777777" w:rsidR="00D338A7" w:rsidRPr="003249A9" w:rsidRDefault="009B0817" w:rsidP="00D338A7">
            <w:pPr>
              <w:widowControl w:val="0"/>
              <w:spacing w:after="0" w:line="259" w:lineRule="auto"/>
              <w:contextualSpacing/>
              <w:jc w:val="center"/>
              <w:outlineLvl w:val="0"/>
            </w:pPr>
            <w:r w:rsidRPr="003249A9">
              <w:rPr>
                <w:rFonts w:eastAsia="Calibri" w:cs="Times New Roman"/>
              </w:rPr>
              <w:t>40%</w:t>
            </w:r>
          </w:p>
        </w:tc>
        <w:tc>
          <w:tcPr>
            <w:tcW w:w="1560" w:type="dxa"/>
            <w:vAlign w:val="center"/>
          </w:tcPr>
          <w:p w14:paraId="608B5CF9" w14:textId="77777777" w:rsidR="00D338A7" w:rsidRPr="003249A9" w:rsidRDefault="009B0817" w:rsidP="00D338A7">
            <w:pPr>
              <w:widowControl w:val="0"/>
              <w:spacing w:after="0" w:line="256" w:lineRule="auto"/>
              <w:contextualSpacing/>
              <w:jc w:val="center"/>
              <w:outlineLvl w:val="0"/>
              <w:rPr>
                <w:rFonts w:eastAsia="Arial" w:cs="Times New Roman"/>
                <w:lang w:val="en-US"/>
              </w:rPr>
            </w:pPr>
            <w:r w:rsidRPr="003249A9">
              <w:rPr>
                <w:rFonts w:eastAsia="Arial" w:cs="Times New Roman"/>
                <w:lang w:val="en-US"/>
              </w:rPr>
              <w:t>30.59%</w:t>
            </w:r>
          </w:p>
          <w:p w14:paraId="608B5CFA" w14:textId="77777777" w:rsidR="00D338A7" w:rsidRPr="003249A9" w:rsidRDefault="009B0817" w:rsidP="00D338A7">
            <w:pPr>
              <w:widowControl w:val="0"/>
              <w:spacing w:after="0" w:line="240" w:lineRule="auto"/>
              <w:contextualSpacing/>
              <w:jc w:val="center"/>
              <w:outlineLvl w:val="0"/>
            </w:pPr>
            <w:r w:rsidRPr="003249A9">
              <w:rPr>
                <w:rFonts w:eastAsia="Arial" w:cs="Times New Roman"/>
                <w:lang w:val="en-US"/>
              </w:rPr>
              <w:t>(Q4 2020/21)</w:t>
            </w:r>
          </w:p>
        </w:tc>
        <w:tc>
          <w:tcPr>
            <w:tcW w:w="1275" w:type="dxa"/>
            <w:vAlign w:val="center"/>
          </w:tcPr>
          <w:p w14:paraId="608B5CFB" w14:textId="77777777" w:rsidR="00D338A7" w:rsidRPr="003249A9" w:rsidRDefault="009B0817" w:rsidP="00D338A7">
            <w:pPr>
              <w:widowControl w:val="0"/>
              <w:spacing w:after="0" w:line="259" w:lineRule="auto"/>
              <w:contextualSpacing/>
              <w:jc w:val="center"/>
              <w:outlineLvl w:val="0"/>
              <w:rPr>
                <w:b/>
                <w:bCs/>
              </w:rPr>
            </w:pPr>
            <w:r w:rsidRPr="003249A9">
              <w:rPr>
                <w:rFonts w:eastAsia="Calibri" w:cs="Times New Roman"/>
                <w:b/>
                <w:bCs/>
              </w:rPr>
              <w:t>32.5%</w:t>
            </w:r>
          </w:p>
        </w:tc>
        <w:tc>
          <w:tcPr>
            <w:tcW w:w="1125" w:type="dxa"/>
            <w:shd w:val="clear" w:color="auto" w:fill="auto"/>
            <w:vAlign w:val="center"/>
          </w:tcPr>
          <w:p w14:paraId="608B5CFC" w14:textId="77777777" w:rsidR="00D338A7" w:rsidRPr="003249A9" w:rsidRDefault="009B0817" w:rsidP="00D338A7">
            <w:pPr>
              <w:widowControl w:val="0"/>
              <w:spacing w:after="0" w:line="259" w:lineRule="auto"/>
              <w:contextualSpacing/>
              <w:jc w:val="center"/>
              <w:outlineLvl w:val="0"/>
            </w:pPr>
            <w:r w:rsidRPr="003249A9">
              <w:rPr>
                <w:rFonts w:ascii="Wingdings 3" w:eastAsia="Arial" w:hAnsi="Wingdings 3" w:cs="Times New Roman"/>
                <w:color w:val="FF0000"/>
                <w:sz w:val="32"/>
              </w:rPr>
              <w:sym w:font="Wingdings 3" w:char="F070"/>
            </w:r>
          </w:p>
        </w:tc>
        <w:tc>
          <w:tcPr>
            <w:tcW w:w="1266" w:type="dxa"/>
            <w:shd w:val="clear" w:color="auto" w:fill="auto"/>
            <w:vAlign w:val="center"/>
          </w:tcPr>
          <w:p w14:paraId="608B5CFD" w14:textId="77777777" w:rsidR="00D338A7" w:rsidRPr="003249A9" w:rsidRDefault="009B0817" w:rsidP="00D338A7">
            <w:pPr>
              <w:widowControl w:val="0"/>
              <w:spacing w:after="0" w:line="259" w:lineRule="auto"/>
              <w:contextualSpacing/>
              <w:jc w:val="center"/>
              <w:outlineLvl w:val="0"/>
            </w:pPr>
            <w:r w:rsidRPr="003249A9">
              <w:rPr>
                <w:rFonts w:eastAsia="Calibri" w:cs="Times New Roman"/>
                <w:color w:val="00B050"/>
                <w:sz w:val="20"/>
                <w:szCs w:val="20"/>
              </w:rPr>
              <w:t>Better than Q4 2020/21</w:t>
            </w:r>
          </w:p>
        </w:tc>
      </w:tr>
      <w:tr w:rsidR="00511E98" w14:paraId="608B5D03" w14:textId="77777777" w:rsidTr="00D338A7">
        <w:trPr>
          <w:trHeight w:val="2967"/>
        </w:trPr>
        <w:tc>
          <w:tcPr>
            <w:tcW w:w="3096" w:type="dxa"/>
            <w:shd w:val="clear" w:color="auto" w:fill="auto"/>
          </w:tcPr>
          <w:p w14:paraId="608B5CFF" w14:textId="77777777" w:rsidR="00D338A7" w:rsidRPr="003249A9" w:rsidRDefault="009B0817" w:rsidP="00D338A7">
            <w:pPr>
              <w:widowControl w:val="0"/>
              <w:spacing w:after="160" w:line="259" w:lineRule="auto"/>
              <w:contextualSpacing/>
              <w:outlineLvl w:val="0"/>
              <w:rPr>
                <w:b/>
                <w:bCs/>
              </w:rPr>
            </w:pPr>
            <w:r w:rsidRPr="003249A9">
              <w:rPr>
                <w:rFonts w:ascii="Arial" w:eastAsia="Calibri" w:hAnsi="Arial" w:cs="Times New Roman"/>
                <w:b/>
                <w:bCs/>
              </w:rPr>
              <w:lastRenderedPageBreak/>
              <w:t>Commentary:</w:t>
            </w:r>
          </w:p>
        </w:tc>
        <w:tc>
          <w:tcPr>
            <w:tcW w:w="6257" w:type="dxa"/>
            <w:gridSpan w:val="6"/>
            <w:tcBorders>
              <w:top w:val="single" w:sz="4" w:space="0" w:color="auto"/>
              <w:left w:val="single" w:sz="4" w:space="0" w:color="auto"/>
              <w:bottom w:val="single" w:sz="4" w:space="0" w:color="auto"/>
              <w:right w:val="single" w:sz="4" w:space="0" w:color="auto"/>
            </w:tcBorders>
            <w:vAlign w:val="center"/>
          </w:tcPr>
          <w:p w14:paraId="608B5D00" w14:textId="77777777" w:rsidR="00D338A7" w:rsidRPr="003249A9" w:rsidRDefault="009B0817" w:rsidP="00D338A7">
            <w:pPr>
              <w:widowControl w:val="0"/>
              <w:spacing w:after="160" w:line="259" w:lineRule="auto"/>
              <w:contextualSpacing/>
              <w:outlineLvl w:val="0"/>
            </w:pPr>
            <w:bookmarkStart w:id="4" w:name="_Hlk80367885"/>
            <w:r w:rsidRPr="003249A9">
              <w:t>There has been an increase in requests received via self-serve channels when compared to last quarter, however it remains below the 40% target. The delivery of the Digital Strategy and the review of Customer Services will put initiatives and resources in place to encourage greater utilisation of self-service channels.</w:t>
            </w:r>
          </w:p>
          <w:p w14:paraId="608B5D01" w14:textId="77777777" w:rsidR="00D338A7" w:rsidRPr="003249A9" w:rsidRDefault="00AC69EF" w:rsidP="00D338A7">
            <w:pPr>
              <w:widowControl w:val="0"/>
              <w:spacing w:after="160" w:line="259" w:lineRule="auto"/>
              <w:contextualSpacing/>
              <w:outlineLvl w:val="0"/>
            </w:pPr>
          </w:p>
          <w:p w14:paraId="608B5D02" w14:textId="77777777" w:rsidR="00D338A7" w:rsidRPr="003249A9" w:rsidRDefault="009B0817" w:rsidP="00D338A7">
            <w:pPr>
              <w:widowControl w:val="0"/>
              <w:spacing w:after="160" w:line="259" w:lineRule="auto"/>
              <w:contextualSpacing/>
              <w:outlineLvl w:val="0"/>
            </w:pPr>
            <w:r w:rsidRPr="003249A9">
              <w:t>This will support people to complete transactions through the refreshed website and promote an easier way to transact with the Council online, enabling the Customer Contact Centre to better support more complex cases, including supporting vulnerable customers.</w:t>
            </w:r>
            <w:bookmarkEnd w:id="4"/>
          </w:p>
        </w:tc>
      </w:tr>
    </w:tbl>
    <w:p w14:paraId="608B5D04" w14:textId="77777777" w:rsidR="00D338A7" w:rsidRDefault="00AC69EF" w:rsidP="00D338A7"/>
    <w:p w14:paraId="608B5D05" w14:textId="77777777" w:rsidR="00D338A7" w:rsidRDefault="00AC69EF" w:rsidP="00D338A7">
      <w:pPr>
        <w:sectPr w:rsidR="00D338A7" w:rsidSect="00D338A7">
          <w:pgSz w:w="11906" w:h="16838"/>
          <w:pgMar w:top="1440" w:right="1440" w:bottom="851" w:left="1440" w:header="708" w:footer="708" w:gutter="0"/>
          <w:cols w:space="708"/>
          <w:docGrid w:linePitch="360"/>
        </w:sectPr>
      </w:pPr>
    </w:p>
    <w:tbl>
      <w:tblPr>
        <w:tblpPr w:leftFromText="180" w:rightFromText="180" w:vertAnchor="text" w:horzAnchor="margin" w:tblpXSpec="center" w:tblpY="-1064"/>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84"/>
        <w:gridCol w:w="3087"/>
      </w:tblGrid>
      <w:tr w:rsidR="00511E98" w14:paraId="608B5D09" w14:textId="77777777" w:rsidTr="00D338A7">
        <w:trPr>
          <w:trHeight w:val="1758"/>
        </w:trPr>
        <w:tc>
          <w:tcPr>
            <w:tcW w:w="9254" w:type="dxa"/>
            <w:gridSpan w:val="3"/>
            <w:tcBorders>
              <w:top w:val="nil"/>
              <w:left w:val="nil"/>
              <w:right w:val="nil"/>
            </w:tcBorders>
            <w:shd w:val="clear" w:color="auto" w:fill="auto"/>
          </w:tcPr>
          <w:p w14:paraId="608B5D06" w14:textId="77777777" w:rsidR="00D338A7" w:rsidRPr="003249A9" w:rsidRDefault="009B0817" w:rsidP="00D338A7">
            <w:pPr>
              <w:widowControl w:val="0"/>
              <w:spacing w:after="0" w:line="256" w:lineRule="auto"/>
              <w:ind w:firstLine="208"/>
              <w:contextualSpacing/>
              <w:outlineLvl w:val="0"/>
              <w:rPr>
                <w:rFonts w:ascii="Arial" w:eastAsia="Calibri" w:hAnsi="Arial" w:cs="Arial"/>
                <w:b/>
              </w:rPr>
            </w:pPr>
            <w:r w:rsidRPr="003249A9">
              <w:rPr>
                <w:rFonts w:ascii="Arial" w:eastAsia="Calibri" w:hAnsi="Arial" w:cs="Times New Roman"/>
              </w:rPr>
              <w:lastRenderedPageBreak/>
              <w:br w:type="page"/>
            </w:r>
            <w:bookmarkStart w:id="5" w:name="_Hlk54078121"/>
            <w:r w:rsidRPr="003249A9">
              <w:rPr>
                <w:rFonts w:ascii="Arial" w:eastAsia="Calibri" w:hAnsi="Arial" w:cs="Times New Roman"/>
                <w:noProof/>
              </w:rPr>
              <w:drawing>
                <wp:inline distT="0" distB="0" distL="0" distR="0" wp14:anchorId="608B5EDE" wp14:editId="608B5EDF">
                  <wp:extent cx="1143000"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927607"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11627" t="9941" r="18605" b="11696"/>
                          <a:stretch>
                            <a:fillRect/>
                          </a:stretch>
                        </pic:blipFill>
                        <pic:spPr bwMode="auto">
                          <a:xfrm>
                            <a:off x="0" y="0"/>
                            <a:ext cx="1143000" cy="1276350"/>
                          </a:xfrm>
                          <a:prstGeom prst="rect">
                            <a:avLst/>
                          </a:prstGeom>
                          <a:noFill/>
                          <a:ln>
                            <a:noFill/>
                          </a:ln>
                        </pic:spPr>
                      </pic:pic>
                    </a:graphicData>
                  </a:graphic>
                </wp:inline>
              </w:drawing>
            </w:r>
            <w:r w:rsidRPr="003249A9">
              <w:rPr>
                <w:rFonts w:ascii="Arial" w:eastAsia="Calibri" w:hAnsi="Arial" w:cs="Times New Roman"/>
                <w:noProof/>
              </w:rPr>
              <w:drawing>
                <wp:inline distT="0" distB="0" distL="0" distR="0" wp14:anchorId="608B5EE0" wp14:editId="608B5EE1">
                  <wp:extent cx="292417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964204"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24175" cy="971550"/>
                          </a:xfrm>
                          <a:prstGeom prst="rect">
                            <a:avLst/>
                          </a:prstGeom>
                          <a:noFill/>
                          <a:ln>
                            <a:noFill/>
                          </a:ln>
                        </pic:spPr>
                      </pic:pic>
                    </a:graphicData>
                  </a:graphic>
                </wp:inline>
              </w:drawing>
            </w:r>
          </w:p>
          <w:p w14:paraId="608B5D07" w14:textId="77777777" w:rsidR="00D338A7" w:rsidRPr="003249A9" w:rsidRDefault="00AC69EF" w:rsidP="00D338A7">
            <w:pPr>
              <w:widowControl w:val="0"/>
              <w:spacing w:after="0" w:line="256" w:lineRule="auto"/>
              <w:contextualSpacing/>
              <w:outlineLvl w:val="0"/>
              <w:rPr>
                <w:rFonts w:ascii="Arial" w:eastAsia="Calibri" w:hAnsi="Arial" w:cs="Arial"/>
                <w:b/>
                <w:color w:val="E3322D"/>
              </w:rPr>
            </w:pPr>
          </w:p>
          <w:p w14:paraId="608B5D08" w14:textId="77777777" w:rsidR="00D338A7" w:rsidRPr="003249A9" w:rsidRDefault="009B0817" w:rsidP="00D338A7">
            <w:pPr>
              <w:widowControl w:val="0"/>
              <w:spacing w:after="0" w:line="256" w:lineRule="auto"/>
              <w:contextualSpacing/>
              <w:outlineLvl w:val="0"/>
              <w:rPr>
                <w:rFonts w:ascii="Arial" w:eastAsia="Calibri" w:hAnsi="Arial" w:cs="Arial"/>
                <w:b/>
                <w:color w:val="E3322D"/>
              </w:rPr>
            </w:pPr>
            <w:r w:rsidRPr="003249A9">
              <w:rPr>
                <w:rFonts w:ascii="Arial" w:eastAsia="Calibri" w:hAnsi="Arial" w:cs="Arial"/>
                <w:b/>
                <w:color w:val="E3322D"/>
              </w:rPr>
              <w:t>A PLACE WHERE:</w:t>
            </w:r>
          </w:p>
        </w:tc>
      </w:tr>
      <w:tr w:rsidR="00511E98" w14:paraId="608B5D0D" w14:textId="77777777" w:rsidTr="00D338A7">
        <w:trPr>
          <w:trHeight w:val="816"/>
        </w:trPr>
        <w:tc>
          <w:tcPr>
            <w:tcW w:w="3083" w:type="dxa"/>
            <w:tcBorders>
              <w:top w:val="single" w:sz="18" w:space="0" w:color="FFFFFF"/>
              <w:left w:val="single" w:sz="18" w:space="0" w:color="FFFFFF"/>
              <w:bottom w:val="single" w:sz="18" w:space="0" w:color="FFFFFF"/>
              <w:right w:val="single" w:sz="18" w:space="0" w:color="FFFFFF"/>
            </w:tcBorders>
            <w:shd w:val="clear" w:color="auto" w:fill="auto"/>
          </w:tcPr>
          <w:p w14:paraId="608B5D0A" w14:textId="77777777" w:rsidR="00D338A7" w:rsidRPr="003249A9" w:rsidRDefault="009B0817" w:rsidP="00D338A7">
            <w:pPr>
              <w:widowControl w:val="0"/>
              <w:spacing w:after="0" w:line="256" w:lineRule="auto"/>
              <w:contextualSpacing/>
              <w:outlineLvl w:val="0"/>
              <w:rPr>
                <w:rFonts w:ascii="Arial" w:eastAsia="Calibri" w:hAnsi="Arial" w:cs="Arial"/>
                <w:b/>
                <w:color w:val="E3322D"/>
              </w:rPr>
            </w:pPr>
            <w:r w:rsidRPr="003249A9">
              <w:rPr>
                <w:rFonts w:ascii="Arial" w:eastAsia="Calibri" w:hAnsi="Arial" w:cs="Arial"/>
                <w:b/>
                <w:color w:val="E3322D"/>
              </w:rPr>
              <w:t>Residents have positive mental health</w:t>
            </w:r>
          </w:p>
        </w:tc>
        <w:tc>
          <w:tcPr>
            <w:tcW w:w="3084" w:type="dxa"/>
            <w:tcBorders>
              <w:top w:val="single" w:sz="18" w:space="0" w:color="FFFFFF"/>
              <w:left w:val="single" w:sz="18" w:space="0" w:color="FFFFFF"/>
              <w:bottom w:val="single" w:sz="18" w:space="0" w:color="FFFFFF"/>
              <w:right w:val="single" w:sz="18" w:space="0" w:color="FFFFFF"/>
            </w:tcBorders>
            <w:shd w:val="clear" w:color="auto" w:fill="auto"/>
          </w:tcPr>
          <w:p w14:paraId="608B5D0B" w14:textId="77777777" w:rsidR="00D338A7" w:rsidRPr="003249A9" w:rsidRDefault="009B0817" w:rsidP="00D338A7">
            <w:pPr>
              <w:widowControl w:val="0"/>
              <w:spacing w:after="0" w:line="256" w:lineRule="auto"/>
              <w:contextualSpacing/>
              <w:outlineLvl w:val="0"/>
              <w:rPr>
                <w:rFonts w:ascii="Arial" w:eastAsia="Calibri" w:hAnsi="Arial" w:cs="Arial"/>
                <w:b/>
                <w:color w:val="E3322D"/>
              </w:rPr>
            </w:pPr>
            <w:r w:rsidRPr="003249A9">
              <w:rPr>
                <w:rFonts w:ascii="Arial" w:eastAsia="Calibri" w:hAnsi="Arial" w:cs="Arial"/>
                <w:b/>
                <w:color w:val="E3322D"/>
              </w:rPr>
              <w:t>People get involved and have a sense of belonging</w:t>
            </w:r>
          </w:p>
        </w:tc>
        <w:tc>
          <w:tcPr>
            <w:tcW w:w="3087" w:type="dxa"/>
            <w:tcBorders>
              <w:top w:val="single" w:sz="18" w:space="0" w:color="FFFFFF"/>
              <w:left w:val="single" w:sz="18" w:space="0" w:color="FFFFFF"/>
              <w:bottom w:val="single" w:sz="18" w:space="0" w:color="FFFFFF"/>
              <w:right w:val="single" w:sz="18" w:space="0" w:color="FFFFFF"/>
            </w:tcBorders>
            <w:shd w:val="clear" w:color="auto" w:fill="auto"/>
          </w:tcPr>
          <w:p w14:paraId="608B5D0C" w14:textId="77777777" w:rsidR="00D338A7" w:rsidRPr="003249A9" w:rsidRDefault="009B0817" w:rsidP="00D338A7">
            <w:pPr>
              <w:widowControl w:val="0"/>
              <w:spacing w:after="0" w:line="256" w:lineRule="auto"/>
              <w:contextualSpacing/>
              <w:outlineLvl w:val="0"/>
              <w:rPr>
                <w:rFonts w:ascii="Arial" w:eastAsia="Calibri" w:hAnsi="Arial" w:cs="Arial"/>
                <w:b/>
                <w:color w:val="E3322D"/>
              </w:rPr>
            </w:pPr>
            <w:r w:rsidRPr="003249A9">
              <w:rPr>
                <w:rFonts w:ascii="Arial" w:eastAsia="Calibri" w:hAnsi="Arial" w:cs="Arial"/>
                <w:b/>
                <w:color w:val="E3322D"/>
              </w:rPr>
              <w:t>Communities can access services and support when they need them</w:t>
            </w:r>
          </w:p>
        </w:tc>
      </w:tr>
    </w:tbl>
    <w:bookmarkEnd w:id="5"/>
    <w:p w14:paraId="608B5D0E" w14:textId="77777777" w:rsidR="00D338A7" w:rsidRPr="003249A9" w:rsidRDefault="009B0817" w:rsidP="00D338A7">
      <w:pPr>
        <w:spacing w:before="100" w:beforeAutospacing="1" w:after="100" w:afterAutospacing="1" w:line="240" w:lineRule="auto"/>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t>Achievements this quarter</w:t>
      </w:r>
    </w:p>
    <w:p w14:paraId="608B5D0F" w14:textId="77777777" w:rsidR="00D338A7" w:rsidRPr="003249A9" w:rsidRDefault="009B0817" w:rsidP="00D338A7">
      <w:pPr>
        <w:numPr>
          <w:ilvl w:val="0"/>
          <w:numId w:val="8"/>
        </w:numPr>
        <w:spacing w:after="0" w:line="240" w:lineRule="auto"/>
        <w:contextualSpacing/>
        <w:rPr>
          <w:rFonts w:ascii="Arial" w:eastAsia="Calibri" w:hAnsi="Arial" w:cs="Arial"/>
        </w:rPr>
      </w:pPr>
      <w:r w:rsidRPr="003249A9">
        <w:rPr>
          <w:rFonts w:cs="Arial"/>
          <w:iCs/>
        </w:rPr>
        <w:t xml:space="preserve">The Mental Health support programme for young people has progressed this quarter, with the communities’ team alongside elected members taking part in 11 Community </w:t>
      </w:r>
      <w:r w:rsidRPr="003249A9">
        <w:rPr>
          <w:rFonts w:ascii="Arial" w:eastAsia="Calibri" w:hAnsi="Arial" w:cs="Times New Roman"/>
        </w:rPr>
        <w:t>Conversations</w:t>
      </w:r>
      <w:r w:rsidRPr="003249A9">
        <w:rPr>
          <w:rFonts w:cs="Arial"/>
          <w:iCs/>
        </w:rPr>
        <w:t xml:space="preserve"> events. The events took place in each neighbourhood area across the Borough and engaged with 278 members of the public. The conversations have provided feedback from young people on the mental health and wellbeing needs of the local community and have highlighted areas were the council can support and promote positive mental health.  An accredited Mental Health First Aid training package has been secured through Lancashire Mind which will be rolled out to staff over the coming months to ensure the necessary skills and knowledge to effectively deal with young people’s mental health. </w:t>
      </w:r>
    </w:p>
    <w:p w14:paraId="608B5D10" w14:textId="77777777" w:rsidR="00D338A7" w:rsidRPr="003249A9" w:rsidRDefault="00AC69EF" w:rsidP="00D338A7">
      <w:pPr>
        <w:spacing w:after="0" w:line="240" w:lineRule="auto"/>
        <w:ind w:left="360"/>
        <w:contextualSpacing/>
        <w:rPr>
          <w:rFonts w:ascii="Arial" w:eastAsia="Calibri" w:hAnsi="Arial" w:cs="Arial"/>
        </w:rPr>
      </w:pPr>
    </w:p>
    <w:p w14:paraId="608B5D11" w14:textId="77777777" w:rsidR="00D338A7" w:rsidRPr="003249A9" w:rsidRDefault="009B0817" w:rsidP="00D338A7">
      <w:pPr>
        <w:numPr>
          <w:ilvl w:val="0"/>
          <w:numId w:val="8"/>
        </w:numPr>
        <w:spacing w:after="0" w:line="240" w:lineRule="auto"/>
        <w:contextualSpacing/>
        <w:rPr>
          <w:rFonts w:ascii="Arial" w:eastAsia="Calibri" w:hAnsi="Arial" w:cs="Arial"/>
        </w:rPr>
      </w:pPr>
      <w:r w:rsidRPr="003249A9">
        <w:rPr>
          <w:rFonts w:cs="Arial"/>
          <w:iCs/>
        </w:rPr>
        <w:t xml:space="preserve">Work been ongoing to further develop relationships with </w:t>
      </w:r>
      <w:r w:rsidRPr="003249A9">
        <w:t>Lancashire County Council’s family liaison service, s</w:t>
      </w:r>
      <w:r w:rsidRPr="003249A9">
        <w:rPr>
          <w:rFonts w:cs="Arial"/>
          <w:iCs/>
        </w:rPr>
        <w:t xml:space="preserve">chools, </w:t>
      </w:r>
      <w:r w:rsidRPr="003249A9">
        <w:t xml:space="preserve">community groups and youth groups in South Ribble to promote better partnerships to improve the overall mental health offer to young people across the district. A consultation with young people (aged 4 -16) funded through a Co-operative Councils Innovation Network (CCIN) grant is to commence in quarter two which will further explore </w:t>
      </w:r>
      <w:r w:rsidRPr="003249A9">
        <w:rPr>
          <w:rFonts w:cs="Arial"/>
          <w:iCs/>
        </w:rPr>
        <w:t>what young people feel is important for their local community in relation to mental health support.</w:t>
      </w:r>
      <w:bookmarkStart w:id="6" w:name="_Hlk80365593"/>
      <w:bookmarkStart w:id="7" w:name="_Hlk80365642"/>
    </w:p>
    <w:p w14:paraId="608B5D12" w14:textId="77777777" w:rsidR="00D338A7" w:rsidRPr="003249A9" w:rsidRDefault="00AC69EF" w:rsidP="00D338A7">
      <w:pPr>
        <w:spacing w:after="0" w:line="240" w:lineRule="auto"/>
        <w:ind w:left="360"/>
        <w:contextualSpacing/>
        <w:rPr>
          <w:rFonts w:ascii="Arial" w:eastAsia="Calibri" w:hAnsi="Arial" w:cs="Arial"/>
        </w:rPr>
      </w:pPr>
    </w:p>
    <w:p w14:paraId="608B5D13" w14:textId="77777777" w:rsidR="00D338A7" w:rsidRPr="003249A9" w:rsidRDefault="009B0817" w:rsidP="00D338A7">
      <w:pPr>
        <w:numPr>
          <w:ilvl w:val="0"/>
          <w:numId w:val="8"/>
        </w:numPr>
        <w:spacing w:after="0" w:line="240" w:lineRule="auto"/>
        <w:contextualSpacing/>
        <w:rPr>
          <w:rFonts w:ascii="Arial" w:eastAsia="Calibri" w:hAnsi="Arial" w:cs="Arial"/>
        </w:rPr>
      </w:pPr>
      <w:r w:rsidRPr="003249A9">
        <w:rPr>
          <w:rFonts w:cs="Arial"/>
          <w:iCs/>
        </w:rPr>
        <w:t xml:space="preserve">The development of the Youth Council has progressed well this quarter with the initial promotion via social media and press releases to generate awareness of the project. Contact has been made with ‘Shout Out’ young people’s advocacy group to provide proposals to develop political literacy skills and build confidence to prepare young people to take part in the Youth Council. Further engagement with more difficult to reach young people will take place in quarter two. The councils holiday activity and food programmes will also be used to recruit young people and raise the profile of the Youth Council. </w:t>
      </w:r>
    </w:p>
    <w:bookmarkEnd w:id="6"/>
    <w:p w14:paraId="608B5D14" w14:textId="77777777" w:rsidR="00D338A7" w:rsidRPr="003249A9" w:rsidRDefault="00AC69EF" w:rsidP="00D338A7">
      <w:pPr>
        <w:spacing w:after="0" w:line="240" w:lineRule="auto"/>
        <w:ind w:left="360"/>
        <w:contextualSpacing/>
        <w:rPr>
          <w:rFonts w:ascii="Arial" w:eastAsia="Calibri" w:hAnsi="Arial" w:cs="Arial"/>
        </w:rPr>
      </w:pPr>
    </w:p>
    <w:p w14:paraId="608B5D15" w14:textId="77777777" w:rsidR="00D338A7" w:rsidRPr="003249A9" w:rsidRDefault="009B0817" w:rsidP="00D338A7">
      <w:pPr>
        <w:numPr>
          <w:ilvl w:val="0"/>
          <w:numId w:val="8"/>
        </w:numPr>
        <w:spacing w:after="0" w:line="240" w:lineRule="auto"/>
        <w:contextualSpacing/>
        <w:rPr>
          <w:rFonts w:ascii="Arial" w:eastAsia="Calibri" w:hAnsi="Arial" w:cs="Arial"/>
        </w:rPr>
      </w:pPr>
      <w:r w:rsidRPr="003249A9">
        <w:rPr>
          <w:rFonts w:cs="Arial"/>
          <w:iCs/>
        </w:rPr>
        <w:t xml:space="preserve">The Community Hub action plans are progressing with regular planning meetings and hub chair briefings being held to monitor progress of the agreed action plans for each area. Some example action plan projects delivered include the delivery of ‘Living Room Live’ (an online version of Penwortham Live Community Music Festival), provision of plants and trees to the new Peace Garden at the rear of the Civic Centre, and consultation on Phase 2 of the works to be carried out at Much Hoole Village Hall. Newsletters, new Facebook pages have been published, and community conversation events have been held to enable consultation and member engagement with communities. </w:t>
      </w:r>
    </w:p>
    <w:bookmarkEnd w:id="7"/>
    <w:p w14:paraId="608B5D16" w14:textId="77777777" w:rsidR="00D338A7" w:rsidRPr="003249A9" w:rsidRDefault="00AC69EF" w:rsidP="00D338A7">
      <w:pPr>
        <w:spacing w:after="160" w:line="259" w:lineRule="auto"/>
        <w:ind w:left="360"/>
        <w:contextualSpacing/>
        <w:rPr>
          <w:rFonts w:ascii="Arial" w:eastAsia="Calibri" w:hAnsi="Arial" w:cs="Arial"/>
        </w:rPr>
      </w:pPr>
    </w:p>
    <w:p w14:paraId="608B5D17" w14:textId="77777777" w:rsidR="00D338A7" w:rsidRPr="003249A9" w:rsidRDefault="009B0817" w:rsidP="00D338A7">
      <w:pPr>
        <w:numPr>
          <w:ilvl w:val="0"/>
          <w:numId w:val="8"/>
        </w:numPr>
        <w:spacing w:after="0" w:line="240" w:lineRule="auto"/>
        <w:contextualSpacing/>
        <w:rPr>
          <w:rFonts w:ascii="Arial" w:eastAsia="Calibri" w:hAnsi="Arial" w:cs="Arial"/>
        </w:rPr>
      </w:pPr>
      <w:r w:rsidRPr="003249A9">
        <w:rPr>
          <w:rFonts w:cs="Arial"/>
          <w:iCs/>
        </w:rPr>
        <w:t>All foodbanks have obtained registration with Environmental health, ensuring a co-ordinated approach and that network members are registered food providers with the appropriate safeguarding and governance arrangements. The foodbank network partners have continued to support residents with food, cleaning products, toiletries, pet food and baby related goods.</w:t>
      </w:r>
    </w:p>
    <w:p w14:paraId="608B5D18" w14:textId="77777777" w:rsidR="00D338A7" w:rsidRDefault="00AC69EF" w:rsidP="00D338A7">
      <w:pPr>
        <w:pStyle w:val="ListParagraph"/>
        <w:rPr>
          <w:rFonts w:ascii="Arial" w:eastAsia="Calibri" w:hAnsi="Arial" w:cs="Arial"/>
        </w:rPr>
      </w:pPr>
    </w:p>
    <w:p w14:paraId="608B5D19" w14:textId="77777777" w:rsidR="00D338A7" w:rsidRDefault="00AC69EF" w:rsidP="00D338A7">
      <w:pPr>
        <w:spacing w:after="0" w:line="240" w:lineRule="auto"/>
        <w:contextualSpacing/>
        <w:rPr>
          <w:rFonts w:ascii="Arial" w:eastAsia="Calibri" w:hAnsi="Arial" w:cs="Arial"/>
        </w:rPr>
      </w:pPr>
    </w:p>
    <w:p w14:paraId="608B5D1A" w14:textId="77777777" w:rsidR="00D338A7" w:rsidRPr="003249A9" w:rsidRDefault="00AC69EF" w:rsidP="00D338A7">
      <w:pPr>
        <w:spacing w:after="0" w:line="240" w:lineRule="auto"/>
        <w:contextualSpacing/>
        <w:rPr>
          <w:rFonts w:ascii="Arial" w:eastAsia="Calibri" w:hAnsi="Arial" w:cs="Arial"/>
        </w:rPr>
      </w:pPr>
    </w:p>
    <w:p w14:paraId="608B5D1B" w14:textId="77777777" w:rsidR="00D338A7" w:rsidRPr="003249A9" w:rsidRDefault="00AC69EF" w:rsidP="00D338A7">
      <w:pPr>
        <w:spacing w:after="0" w:line="240" w:lineRule="auto"/>
        <w:rPr>
          <w:rFonts w:ascii="Arial" w:eastAsia="Calibri" w:hAnsi="Arial" w:cs="Arial"/>
        </w:rPr>
      </w:pPr>
    </w:p>
    <w:p w14:paraId="608B5D1C"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Of the three projects within this priority, all three are rated green. </w:t>
      </w:r>
    </w:p>
    <w:p w14:paraId="608B5D1D" w14:textId="77777777" w:rsidR="00D338A7" w:rsidRPr="003249A9" w:rsidRDefault="00AC69EF" w:rsidP="00D338A7">
      <w:pPr>
        <w:spacing w:after="0" w:line="240" w:lineRule="auto"/>
        <w:ind w:left="360"/>
        <w:contextualSpacing/>
        <w:rPr>
          <w:rFonts w:ascii="Arial" w:eastAsia="Calibri" w:hAnsi="Arial" w:cs="Times New Roman"/>
        </w:rPr>
      </w:pPr>
    </w:p>
    <w:tbl>
      <w:tblPr>
        <w:tblW w:w="9896" w:type="dxa"/>
        <w:tblLook w:val="04A0" w:firstRow="1" w:lastRow="0" w:firstColumn="1" w:lastColumn="0" w:noHBand="0" w:noVBand="1"/>
      </w:tblPr>
      <w:tblGrid>
        <w:gridCol w:w="7824"/>
        <w:gridCol w:w="2072"/>
      </w:tblGrid>
      <w:tr w:rsidR="00511E98" w14:paraId="608B5D20" w14:textId="77777777" w:rsidTr="00D338A7">
        <w:trPr>
          <w:trHeight w:val="65"/>
          <w:tblHeader/>
        </w:trPr>
        <w:tc>
          <w:tcPr>
            <w:tcW w:w="7824" w:type="dxa"/>
            <w:tcBorders>
              <w:top w:val="single" w:sz="4" w:space="0" w:color="auto"/>
              <w:left w:val="single" w:sz="4" w:space="0" w:color="auto"/>
              <w:right w:val="single" w:sz="4" w:space="0" w:color="auto"/>
            </w:tcBorders>
            <w:shd w:val="clear" w:color="auto" w:fill="BFBFBF"/>
            <w:vAlign w:val="center"/>
          </w:tcPr>
          <w:p w14:paraId="608B5D1E" w14:textId="77777777" w:rsidR="00D338A7" w:rsidRPr="003249A9" w:rsidRDefault="00AC69EF" w:rsidP="00D338A7">
            <w:pPr>
              <w:spacing w:after="0" w:line="240" w:lineRule="auto"/>
              <w:rPr>
                <w:rFonts w:ascii="Arial" w:eastAsia="Times New Roman" w:hAnsi="Arial" w:cs="Times New Roman"/>
                <w:b/>
                <w:szCs w:val="20"/>
                <w:lang w:eastAsia="en-GB"/>
              </w:rPr>
            </w:pPr>
          </w:p>
        </w:tc>
        <w:tc>
          <w:tcPr>
            <w:tcW w:w="2072" w:type="dxa"/>
            <w:tcBorders>
              <w:top w:val="single" w:sz="4" w:space="0" w:color="auto"/>
              <w:left w:val="single" w:sz="4" w:space="0" w:color="auto"/>
              <w:right w:val="single" w:sz="4" w:space="0" w:color="auto"/>
            </w:tcBorders>
            <w:shd w:val="clear" w:color="auto" w:fill="BFBFBF"/>
            <w:vAlign w:val="center"/>
          </w:tcPr>
          <w:p w14:paraId="608B5D1F" w14:textId="77777777" w:rsidR="00D338A7" w:rsidRPr="003249A9" w:rsidRDefault="009B0817" w:rsidP="00D338A7">
            <w:pPr>
              <w:spacing w:after="0" w:line="240" w:lineRule="auto"/>
              <w:jc w:val="center"/>
              <w:rPr>
                <w:rFonts w:ascii="Arial" w:eastAsia="Times New Roman" w:hAnsi="Arial" w:cs="Times New Roman"/>
                <w:b/>
                <w:szCs w:val="20"/>
                <w:lang w:eastAsia="en-GB"/>
              </w:rPr>
            </w:pPr>
            <w:r w:rsidRPr="003249A9">
              <w:rPr>
                <w:rFonts w:ascii="Arial" w:eastAsia="Times New Roman" w:hAnsi="Arial" w:cs="Arial"/>
                <w:b/>
                <w:szCs w:val="20"/>
                <w:lang w:eastAsia="en-GB"/>
              </w:rPr>
              <w:t>2021-22</w:t>
            </w:r>
          </w:p>
        </w:tc>
      </w:tr>
      <w:tr w:rsidR="00511E98" w14:paraId="608B5D24" w14:textId="77777777" w:rsidTr="00D338A7">
        <w:trPr>
          <w:trHeight w:val="528"/>
          <w:tblHeader/>
        </w:trPr>
        <w:tc>
          <w:tcPr>
            <w:tcW w:w="7824" w:type="dxa"/>
            <w:tcBorders>
              <w:left w:val="single" w:sz="4" w:space="0" w:color="auto"/>
              <w:bottom w:val="single" w:sz="4" w:space="0" w:color="auto"/>
              <w:right w:val="single" w:sz="4" w:space="0" w:color="auto"/>
            </w:tcBorders>
            <w:shd w:val="clear" w:color="auto" w:fill="BFBFBF"/>
            <w:vAlign w:val="center"/>
          </w:tcPr>
          <w:p w14:paraId="608B5D21" w14:textId="77777777" w:rsidR="00D338A7" w:rsidRPr="003249A9" w:rsidRDefault="009B0817" w:rsidP="00D338A7">
            <w:pPr>
              <w:spacing w:after="0" w:line="240" w:lineRule="auto"/>
              <w:rPr>
                <w:rFonts w:ascii="Arial" w:eastAsia="Times New Roman" w:hAnsi="Arial" w:cs="Arial"/>
                <w:b/>
                <w:szCs w:val="20"/>
                <w:lang w:eastAsia="en-GB"/>
              </w:rPr>
            </w:pPr>
            <w:r w:rsidRPr="003249A9">
              <w:rPr>
                <w:rFonts w:ascii="Arial" w:eastAsia="Times New Roman" w:hAnsi="Arial" w:cs="Arial"/>
                <w:b/>
                <w:szCs w:val="20"/>
                <w:lang w:eastAsia="en-GB"/>
              </w:rPr>
              <w:t>Projects</w:t>
            </w:r>
          </w:p>
        </w:tc>
        <w:tc>
          <w:tcPr>
            <w:tcW w:w="2072" w:type="dxa"/>
            <w:tcBorders>
              <w:left w:val="single" w:sz="4" w:space="0" w:color="auto"/>
              <w:bottom w:val="single" w:sz="4" w:space="0" w:color="auto"/>
              <w:right w:val="single" w:sz="4" w:space="0" w:color="auto"/>
            </w:tcBorders>
            <w:shd w:val="clear" w:color="auto" w:fill="BFBFBF"/>
            <w:vAlign w:val="center"/>
          </w:tcPr>
          <w:p w14:paraId="608B5D22"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Quarter 1</w:t>
            </w:r>
          </w:p>
          <w:p w14:paraId="608B5D23"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(Apr – Jun)</w:t>
            </w:r>
          </w:p>
        </w:tc>
      </w:tr>
      <w:tr w:rsidR="00511E98" w14:paraId="608B5D27" w14:textId="77777777" w:rsidTr="00D338A7">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608B5D25" w14:textId="77777777" w:rsidR="00D338A7" w:rsidRPr="003249A9" w:rsidRDefault="009B0817" w:rsidP="00D338A7">
            <w:pPr>
              <w:spacing w:after="0" w:line="240" w:lineRule="auto"/>
              <w:rPr>
                <w:rFonts w:ascii="Arial" w:eastAsia="Times New Roman" w:hAnsi="Arial" w:cs="Arial"/>
                <w:szCs w:val="20"/>
                <w:lang w:eastAsia="en-GB"/>
              </w:rPr>
            </w:pPr>
            <w:bookmarkStart w:id="8" w:name="_Hlk29305238"/>
            <w:r w:rsidRPr="003249A9">
              <w:rPr>
                <w:rFonts w:ascii="Arial" w:eastAsia="Calibri" w:hAnsi="Arial" w:cs="Times New Roman"/>
                <w:b/>
                <w:szCs w:val="20"/>
                <w:lang w:eastAsia="en-GB"/>
              </w:rPr>
              <w:t>Establish South Ribble Together Hubs</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14:paraId="608B5D26"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R="00511E98" w14:paraId="608B5D2A" w14:textId="77777777" w:rsidTr="00D338A7">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608B5D28" w14:textId="77777777" w:rsidR="00D338A7" w:rsidRPr="003249A9" w:rsidRDefault="009B0817" w:rsidP="00D338A7">
            <w:pPr>
              <w:spacing w:after="0" w:line="240" w:lineRule="auto"/>
              <w:rPr>
                <w:rFonts w:ascii="Arial" w:eastAsia="Times New Roman" w:hAnsi="Arial" w:cs="Arial"/>
                <w:szCs w:val="20"/>
                <w:lang w:eastAsia="en-GB"/>
              </w:rPr>
            </w:pPr>
            <w:bookmarkStart w:id="9" w:name="_Hlk71724153"/>
            <w:r w:rsidRPr="003249A9">
              <w:rPr>
                <w:rFonts w:ascii="Arial" w:eastAsia="Calibri" w:hAnsi="Arial" w:cs="Times New Roman"/>
                <w:b/>
                <w:szCs w:val="20"/>
                <w:lang w:eastAsia="en-GB"/>
              </w:rPr>
              <w:t>Deliver a mental health support programme for young people</w:t>
            </w:r>
            <w:bookmarkEnd w:id="9"/>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14:paraId="608B5D29" w14:textId="77777777" w:rsidR="00D338A7" w:rsidRPr="003249A9" w:rsidRDefault="009B0817" w:rsidP="00D338A7">
            <w:pPr>
              <w:spacing w:after="0" w:line="240" w:lineRule="auto"/>
              <w:jc w:val="center"/>
              <w:rPr>
                <w:rFonts w:ascii="Arial" w:eastAsia="Calibri" w:hAnsi="Arial" w:cs="Times New Roman"/>
                <w:b/>
                <w:bCs/>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R="00511E98" w14:paraId="608B5D2D" w14:textId="77777777" w:rsidTr="00D338A7">
        <w:trPr>
          <w:trHeight w:val="528"/>
        </w:trPr>
        <w:tc>
          <w:tcPr>
            <w:tcW w:w="7824" w:type="dxa"/>
            <w:tcBorders>
              <w:top w:val="single" w:sz="4" w:space="0" w:color="auto"/>
              <w:left w:val="single" w:sz="4" w:space="0" w:color="auto"/>
              <w:bottom w:val="single" w:sz="4" w:space="0" w:color="auto"/>
              <w:right w:val="single" w:sz="4" w:space="0" w:color="auto"/>
            </w:tcBorders>
            <w:shd w:val="clear" w:color="auto" w:fill="auto"/>
            <w:vAlign w:val="center"/>
          </w:tcPr>
          <w:p w14:paraId="608B5D2B" w14:textId="77777777" w:rsidR="00D338A7" w:rsidRPr="003249A9" w:rsidRDefault="009B0817" w:rsidP="00D338A7">
            <w:pPr>
              <w:spacing w:after="0" w:line="240" w:lineRule="auto"/>
              <w:rPr>
                <w:rFonts w:ascii="Arial" w:eastAsia="Times New Roman" w:hAnsi="Arial" w:cs="Arial"/>
                <w:szCs w:val="20"/>
                <w:lang w:eastAsia="en-GB"/>
              </w:rPr>
            </w:pPr>
            <w:r w:rsidRPr="003249A9">
              <w:rPr>
                <w:rFonts w:ascii="Arial" w:eastAsia="Times New Roman" w:hAnsi="Arial" w:cs="Times New Roman"/>
                <w:b/>
                <w:bCs/>
                <w:szCs w:val="20"/>
                <w:lang w:eastAsia="en-GB"/>
              </w:rPr>
              <w:t>Establish a Youth Council</w:t>
            </w:r>
          </w:p>
        </w:tc>
        <w:tc>
          <w:tcPr>
            <w:tcW w:w="2072" w:type="dxa"/>
            <w:tcBorders>
              <w:top w:val="single" w:sz="4" w:space="0" w:color="auto"/>
              <w:left w:val="single" w:sz="4" w:space="0" w:color="auto"/>
              <w:bottom w:val="single" w:sz="4" w:space="0" w:color="auto"/>
              <w:right w:val="single" w:sz="4" w:space="0" w:color="auto"/>
            </w:tcBorders>
            <w:shd w:val="clear" w:color="auto" w:fill="92D050"/>
            <w:vAlign w:val="center"/>
          </w:tcPr>
          <w:p w14:paraId="608B5D2C"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bl>
    <w:bookmarkEnd w:id="8"/>
    <w:p w14:paraId="608B5D2E" w14:textId="77777777" w:rsidR="00D338A7" w:rsidRPr="003249A9" w:rsidRDefault="009B0817" w:rsidP="00D338A7">
      <w:pPr>
        <w:spacing w:before="100" w:beforeAutospacing="1" w:after="100" w:afterAutospacing="1" w:line="240" w:lineRule="auto"/>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t>Key Performance Indicators</w:t>
      </w:r>
    </w:p>
    <w:p w14:paraId="608B5D2F"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Of the eight performance measures reported under this outcome, two are due to be reported this quarter. Both measures are to be baselined. </w:t>
      </w:r>
    </w:p>
    <w:p w14:paraId="608B5D30" w14:textId="77777777" w:rsidR="00D338A7" w:rsidRPr="003249A9" w:rsidRDefault="00AC69EF" w:rsidP="00D338A7">
      <w:pPr>
        <w:spacing w:after="0" w:line="240" w:lineRule="auto"/>
        <w:rPr>
          <w:rFonts w:ascii="Arial" w:eastAsia="Calibri" w:hAnsi="Arial" w:cs="Times New Roman"/>
        </w:rPr>
      </w:pPr>
    </w:p>
    <w:p w14:paraId="608B5D31"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xml:space="preserve">Number of residents benefiting from opportunities created by the communities’ team: </w:t>
      </w:r>
    </w:p>
    <w:p w14:paraId="608B5D32"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Number of meals provided to school age children through holiday hunger offer</w:t>
      </w:r>
    </w:p>
    <w:p w14:paraId="608B5D33" w14:textId="77777777" w:rsidR="00D338A7" w:rsidRPr="003249A9" w:rsidRDefault="00AC69EF" w:rsidP="00D338A7">
      <w:pPr>
        <w:spacing w:after="0" w:line="240" w:lineRule="auto"/>
        <w:ind w:left="1440"/>
        <w:contextualSpacing/>
        <w:rPr>
          <w:rFonts w:ascii="Arial" w:eastAsia="Calibri" w:hAnsi="Arial" w:cs="Times New Roman"/>
        </w:rPr>
      </w:pPr>
    </w:p>
    <w:p w14:paraId="608B5D34" w14:textId="77777777" w:rsidR="00D338A7" w:rsidRPr="003249A9" w:rsidRDefault="009B0817" w:rsidP="00D338A7">
      <w:pPr>
        <w:spacing w:after="0" w:line="240" w:lineRule="auto"/>
        <w:ind w:left="360"/>
        <w:contextualSpacing/>
        <w:rPr>
          <w:rFonts w:ascii="Arial" w:eastAsia="Calibri" w:hAnsi="Arial" w:cs="Arial"/>
          <w:bCs/>
        </w:rPr>
      </w:pPr>
      <w:r w:rsidRPr="003249A9">
        <w:rPr>
          <w:rFonts w:ascii="Arial" w:eastAsia="Calibri" w:hAnsi="Arial" w:cs="Arial"/>
          <w:bCs/>
        </w:rPr>
        <w:t>A full list of the performance indicators is included in Appendix 1.</w:t>
      </w:r>
    </w:p>
    <w:p w14:paraId="608B5D35" w14:textId="77777777" w:rsidR="00D338A7" w:rsidRDefault="00AC69EF" w:rsidP="00D338A7">
      <w:pPr>
        <w:spacing w:after="0" w:line="240" w:lineRule="auto"/>
        <w:contextualSpacing/>
        <w:rPr>
          <w:rFonts w:ascii="Arial" w:eastAsia="Calibri" w:hAnsi="Arial" w:cs="Arial"/>
        </w:rPr>
      </w:pPr>
    </w:p>
    <w:p w14:paraId="608B5D36" w14:textId="77777777" w:rsidR="00D338A7" w:rsidRDefault="00AC69EF" w:rsidP="00D338A7">
      <w:pPr>
        <w:spacing w:after="0" w:line="240" w:lineRule="auto"/>
        <w:contextualSpacing/>
        <w:rPr>
          <w:rFonts w:ascii="Arial" w:eastAsia="Calibri" w:hAnsi="Arial" w:cs="Arial"/>
        </w:rPr>
        <w:sectPr w:rsidR="00D338A7" w:rsidSect="00D338A7">
          <w:pgSz w:w="11906" w:h="16838"/>
          <w:pgMar w:top="1440" w:right="1440" w:bottom="851" w:left="1440" w:header="708" w:footer="708" w:gutter="0"/>
          <w:cols w:space="708"/>
          <w:docGrid w:linePitch="360"/>
        </w:sectPr>
      </w:pPr>
    </w:p>
    <w:tbl>
      <w:tblPr>
        <w:tblpPr w:leftFromText="180" w:rightFromText="180" w:vertAnchor="text" w:horzAnchor="margin" w:tblpXSpec="center" w:tblpY="-1124"/>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3045"/>
        <w:gridCol w:w="3047"/>
      </w:tblGrid>
      <w:tr w:rsidR="00511E98" w14:paraId="608B5D3A" w14:textId="77777777" w:rsidTr="00D338A7">
        <w:trPr>
          <w:trHeight w:val="1520"/>
        </w:trPr>
        <w:tc>
          <w:tcPr>
            <w:tcW w:w="9136" w:type="dxa"/>
            <w:gridSpan w:val="3"/>
            <w:tcBorders>
              <w:top w:val="nil"/>
              <w:left w:val="nil"/>
              <w:right w:val="nil"/>
            </w:tcBorders>
            <w:shd w:val="clear" w:color="auto" w:fill="auto"/>
          </w:tcPr>
          <w:p w14:paraId="608B5D37" w14:textId="77777777" w:rsidR="00D338A7" w:rsidRPr="003249A9" w:rsidRDefault="009B0817" w:rsidP="00D338A7">
            <w:pPr>
              <w:widowControl w:val="0"/>
              <w:spacing w:after="0" w:line="256" w:lineRule="auto"/>
              <w:ind w:firstLine="208"/>
              <w:contextualSpacing/>
              <w:outlineLvl w:val="0"/>
              <w:rPr>
                <w:rFonts w:ascii="Arial" w:eastAsia="Calibri" w:hAnsi="Arial" w:cs="Arial"/>
                <w:b/>
                <w:color w:val="8B3781"/>
              </w:rPr>
            </w:pPr>
            <w:bookmarkStart w:id="10" w:name="_Hlk54078172"/>
            <w:r w:rsidRPr="003249A9">
              <w:rPr>
                <w:rFonts w:ascii="Arial" w:eastAsia="Calibri" w:hAnsi="Arial" w:cs="Times New Roman"/>
                <w:noProof/>
                <w:color w:val="8B3781"/>
              </w:rPr>
              <w:lastRenderedPageBreak/>
              <w:drawing>
                <wp:inline distT="0" distB="0" distL="0" distR="0" wp14:anchorId="608B5EE2" wp14:editId="608B5EE3">
                  <wp:extent cx="1219200" cy="154305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70453"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l="13228" t="16986" r="10846" b="-13680"/>
                          <a:stretch>
                            <a:fillRect/>
                          </a:stretch>
                        </pic:blipFill>
                        <pic:spPr bwMode="auto">
                          <a:xfrm>
                            <a:off x="0" y="0"/>
                            <a:ext cx="1219200" cy="1543050"/>
                          </a:xfrm>
                          <a:prstGeom prst="rect">
                            <a:avLst/>
                          </a:prstGeom>
                          <a:noFill/>
                          <a:ln>
                            <a:noFill/>
                          </a:ln>
                        </pic:spPr>
                      </pic:pic>
                    </a:graphicData>
                  </a:graphic>
                </wp:inline>
              </w:drawing>
            </w:r>
            <w:r w:rsidRPr="003249A9">
              <w:rPr>
                <w:rFonts w:ascii="Arial" w:eastAsia="Calibri" w:hAnsi="Arial" w:cs="Times New Roman"/>
                <w:noProof/>
                <w:color w:val="8B3781"/>
              </w:rPr>
              <w:drawing>
                <wp:inline distT="0" distB="0" distL="0" distR="0" wp14:anchorId="608B5EE4" wp14:editId="608B5EE5">
                  <wp:extent cx="3067050" cy="150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174107"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67050" cy="1504950"/>
                          </a:xfrm>
                          <a:prstGeom prst="rect">
                            <a:avLst/>
                          </a:prstGeom>
                          <a:noFill/>
                          <a:ln>
                            <a:noFill/>
                          </a:ln>
                        </pic:spPr>
                      </pic:pic>
                    </a:graphicData>
                  </a:graphic>
                </wp:inline>
              </w:drawing>
            </w:r>
          </w:p>
          <w:p w14:paraId="608B5D38" w14:textId="77777777" w:rsidR="00D338A7" w:rsidRPr="003249A9" w:rsidRDefault="00AC69EF" w:rsidP="00D338A7">
            <w:pPr>
              <w:widowControl w:val="0"/>
              <w:spacing w:after="0" w:line="256" w:lineRule="auto"/>
              <w:contextualSpacing/>
              <w:outlineLvl w:val="0"/>
              <w:rPr>
                <w:rFonts w:ascii="Arial" w:eastAsia="Calibri" w:hAnsi="Arial" w:cs="Arial"/>
                <w:b/>
                <w:color w:val="8B3781"/>
              </w:rPr>
            </w:pPr>
          </w:p>
          <w:p w14:paraId="608B5D39" w14:textId="77777777" w:rsidR="00D338A7" w:rsidRPr="003249A9" w:rsidRDefault="009B0817" w:rsidP="00D338A7">
            <w:pPr>
              <w:widowControl w:val="0"/>
              <w:spacing w:after="0" w:line="256" w:lineRule="auto"/>
              <w:contextualSpacing/>
              <w:outlineLvl w:val="0"/>
              <w:rPr>
                <w:rFonts w:ascii="Arial" w:eastAsia="Calibri" w:hAnsi="Arial" w:cs="Arial"/>
                <w:b/>
                <w:color w:val="8B3781"/>
              </w:rPr>
            </w:pPr>
            <w:r w:rsidRPr="003249A9">
              <w:rPr>
                <w:rFonts w:ascii="Arial" w:eastAsia="Calibri" w:hAnsi="Arial" w:cs="Arial"/>
                <w:b/>
                <w:color w:val="8B3781"/>
              </w:rPr>
              <w:t>A COUNCIL THAT:</w:t>
            </w:r>
          </w:p>
        </w:tc>
      </w:tr>
      <w:tr w:rsidR="00511E98" w14:paraId="608B5D3E" w14:textId="77777777" w:rsidTr="00D338A7">
        <w:trPr>
          <w:trHeight w:val="705"/>
        </w:trPr>
        <w:tc>
          <w:tcPr>
            <w:tcW w:w="3044" w:type="dxa"/>
            <w:tcBorders>
              <w:top w:val="single" w:sz="18" w:space="0" w:color="FFFFFF"/>
              <w:left w:val="single" w:sz="18" w:space="0" w:color="FFFFFF"/>
              <w:bottom w:val="single" w:sz="18" w:space="0" w:color="FFFFFF"/>
              <w:right w:val="single" w:sz="18" w:space="0" w:color="FFFFFF"/>
            </w:tcBorders>
            <w:shd w:val="clear" w:color="auto" w:fill="auto"/>
          </w:tcPr>
          <w:p w14:paraId="608B5D3B" w14:textId="77777777" w:rsidR="00D338A7" w:rsidRPr="003249A9" w:rsidRDefault="009B0817" w:rsidP="00D338A7">
            <w:pPr>
              <w:widowControl w:val="0"/>
              <w:spacing w:after="0" w:line="256" w:lineRule="auto"/>
              <w:contextualSpacing/>
              <w:outlineLvl w:val="0"/>
              <w:rPr>
                <w:rFonts w:ascii="Arial" w:eastAsia="Calibri" w:hAnsi="Arial" w:cs="Arial"/>
                <w:b/>
                <w:color w:val="8B3781"/>
              </w:rPr>
            </w:pPr>
            <w:r w:rsidRPr="003249A9">
              <w:rPr>
                <w:rFonts w:ascii="Arial" w:eastAsia="Calibri" w:hAnsi="Arial" w:cs="Arial"/>
                <w:b/>
                <w:color w:val="8B3781"/>
              </w:rPr>
              <w:t>Increases access to training and jobs</w:t>
            </w:r>
          </w:p>
        </w:tc>
        <w:tc>
          <w:tcPr>
            <w:tcW w:w="3045" w:type="dxa"/>
            <w:tcBorders>
              <w:top w:val="single" w:sz="18" w:space="0" w:color="FFFFFF"/>
              <w:left w:val="single" w:sz="18" w:space="0" w:color="FFFFFF"/>
              <w:bottom w:val="single" w:sz="18" w:space="0" w:color="FFFFFF"/>
              <w:right w:val="single" w:sz="18" w:space="0" w:color="FFFFFF"/>
            </w:tcBorders>
            <w:shd w:val="clear" w:color="auto" w:fill="auto"/>
          </w:tcPr>
          <w:p w14:paraId="608B5D3C" w14:textId="77777777" w:rsidR="00D338A7" w:rsidRPr="003249A9" w:rsidRDefault="009B0817" w:rsidP="00D338A7">
            <w:pPr>
              <w:widowControl w:val="0"/>
              <w:spacing w:after="0" w:line="256" w:lineRule="auto"/>
              <w:contextualSpacing/>
              <w:outlineLvl w:val="0"/>
              <w:rPr>
                <w:rFonts w:ascii="Arial" w:eastAsia="Calibri" w:hAnsi="Arial" w:cs="Arial"/>
                <w:b/>
                <w:color w:val="8B3781"/>
              </w:rPr>
            </w:pPr>
            <w:r w:rsidRPr="003249A9">
              <w:rPr>
                <w:rFonts w:ascii="Arial" w:eastAsia="Calibri" w:hAnsi="Arial" w:cs="Arial"/>
                <w:b/>
                <w:color w:val="8B3781"/>
              </w:rPr>
              <w:t>Grows and supports sustainable businesses</w:t>
            </w:r>
          </w:p>
        </w:tc>
        <w:tc>
          <w:tcPr>
            <w:tcW w:w="3047" w:type="dxa"/>
            <w:tcBorders>
              <w:top w:val="single" w:sz="18" w:space="0" w:color="FFFFFF"/>
              <w:left w:val="single" w:sz="18" w:space="0" w:color="FFFFFF"/>
              <w:bottom w:val="single" w:sz="18" w:space="0" w:color="FFFFFF"/>
              <w:right w:val="single" w:sz="18" w:space="0" w:color="FFFFFF"/>
            </w:tcBorders>
            <w:shd w:val="clear" w:color="auto" w:fill="auto"/>
          </w:tcPr>
          <w:p w14:paraId="608B5D3D" w14:textId="77777777" w:rsidR="00D338A7" w:rsidRPr="003249A9" w:rsidRDefault="009B0817" w:rsidP="00D338A7">
            <w:pPr>
              <w:widowControl w:val="0"/>
              <w:spacing w:after="0" w:line="256" w:lineRule="auto"/>
              <w:contextualSpacing/>
              <w:outlineLvl w:val="0"/>
              <w:rPr>
                <w:rFonts w:ascii="Arial" w:eastAsia="Calibri" w:hAnsi="Arial" w:cs="Arial"/>
                <w:b/>
                <w:color w:val="8B3781"/>
              </w:rPr>
            </w:pPr>
            <w:r w:rsidRPr="003249A9">
              <w:rPr>
                <w:rFonts w:ascii="Arial" w:eastAsia="Calibri" w:hAnsi="Arial" w:cs="Arial"/>
                <w:b/>
                <w:color w:val="8B3781"/>
              </w:rPr>
              <w:t>Invests in improving the borough</w:t>
            </w:r>
          </w:p>
        </w:tc>
      </w:tr>
    </w:tbl>
    <w:bookmarkEnd w:id="10"/>
    <w:p w14:paraId="608B5D3F" w14:textId="77777777" w:rsidR="00D338A7" w:rsidRPr="003249A9" w:rsidRDefault="009B0817" w:rsidP="00D338A7">
      <w:pPr>
        <w:spacing w:before="100" w:beforeAutospacing="1" w:after="100" w:afterAutospacing="1" w:line="240" w:lineRule="auto"/>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t>Achievements this quarter</w:t>
      </w:r>
    </w:p>
    <w:p w14:paraId="608B5D40" w14:textId="77777777" w:rsidR="00D338A7" w:rsidRPr="003249A9" w:rsidRDefault="009B0817" w:rsidP="00D338A7">
      <w:pPr>
        <w:numPr>
          <w:ilvl w:val="0"/>
          <w:numId w:val="8"/>
        </w:numPr>
        <w:spacing w:after="0" w:line="240" w:lineRule="auto"/>
        <w:contextualSpacing/>
        <w:rPr>
          <w:rFonts w:cs="Arial"/>
          <w:iCs/>
        </w:rPr>
      </w:pPr>
      <w:r w:rsidRPr="003249A9">
        <w:rPr>
          <w:rFonts w:cs="Arial"/>
          <w:iCs/>
        </w:rPr>
        <w:t>The Community Wealth Building programme has made good progress including the opening of the Unify Credit Union branch in South Ribble on the 21</w:t>
      </w:r>
      <w:r w:rsidRPr="003249A9">
        <w:rPr>
          <w:rFonts w:cs="Arial"/>
          <w:iCs/>
          <w:vertAlign w:val="superscript"/>
        </w:rPr>
        <w:t>st</w:t>
      </w:r>
      <w:r w:rsidRPr="003249A9">
        <w:rPr>
          <w:rFonts w:cs="Arial"/>
          <w:iCs/>
        </w:rPr>
        <w:t xml:space="preserve"> June 2021. The Credit Union will provide access to ethical and sustainable finance for all residents, supporting the ethos of an inclusive local economy. An officer is now in post to support the delivery of the Community Wealth Building action plan, which has been reviewed and translated into a local implementation plan.  There has been joint agreement by both Councils to implement the Social Value Portal as a tool to measure council procurement outcomes and quantify benefits for the community such as job creation and local spend. </w:t>
      </w:r>
    </w:p>
    <w:p w14:paraId="608B5D41" w14:textId="77777777" w:rsidR="00D338A7" w:rsidRPr="003249A9" w:rsidRDefault="00AC69EF" w:rsidP="00D338A7">
      <w:pPr>
        <w:spacing w:after="0" w:line="240" w:lineRule="auto"/>
        <w:rPr>
          <w:rFonts w:cs="Arial"/>
          <w:iCs/>
        </w:rPr>
      </w:pPr>
    </w:p>
    <w:p w14:paraId="608B5D42" w14:textId="77777777" w:rsidR="00D338A7" w:rsidRPr="003249A9" w:rsidRDefault="009B0817" w:rsidP="00D338A7">
      <w:pPr>
        <w:numPr>
          <w:ilvl w:val="0"/>
          <w:numId w:val="8"/>
        </w:numPr>
        <w:spacing w:after="0" w:line="240" w:lineRule="auto"/>
        <w:contextualSpacing/>
        <w:rPr>
          <w:rFonts w:cs="Arial"/>
          <w:iCs/>
        </w:rPr>
      </w:pPr>
      <w:bookmarkStart w:id="11" w:name="_Hlk80705486"/>
      <w:r w:rsidRPr="003249A9">
        <w:rPr>
          <w:rFonts w:cs="Arial"/>
          <w:iCs/>
        </w:rPr>
        <w:t>The Council continues to support local businesses through the administration of Covid support grants and wider advice or assistance.</w:t>
      </w:r>
      <w:r w:rsidRPr="003249A9">
        <w:t xml:space="preserve"> </w:t>
      </w:r>
      <w:r w:rsidRPr="003249A9">
        <w:rPr>
          <w:rFonts w:cs="Arial"/>
          <w:iCs/>
        </w:rPr>
        <w:t>Delivery of the business support programme aims to reduce the potential for business failures, support viable business and support economic recovery following the impact of the pandemic. During quarter one,</w:t>
      </w:r>
      <w:r w:rsidRPr="003249A9">
        <w:t xml:space="preserve"> </w:t>
      </w:r>
      <w:r w:rsidRPr="003249A9">
        <w:rPr>
          <w:rFonts w:cs="Arial"/>
          <w:iCs/>
        </w:rPr>
        <w:t>there have been 1,622 grants, with a total value of £18,620,000. Work is now in progress to further develop the offer and options that will provide extended support once the government grants come to an end.  Timescales have been amended in line with the changes to government guidance and extension of some grant schemes.</w:t>
      </w:r>
    </w:p>
    <w:bookmarkEnd w:id="11"/>
    <w:p w14:paraId="608B5D43" w14:textId="77777777" w:rsidR="00D338A7" w:rsidRPr="003249A9" w:rsidRDefault="00AC69EF" w:rsidP="00D338A7">
      <w:pPr>
        <w:spacing w:after="0" w:line="240" w:lineRule="auto"/>
        <w:ind w:left="360"/>
        <w:contextualSpacing/>
        <w:rPr>
          <w:rFonts w:cs="Arial"/>
          <w:iCs/>
        </w:rPr>
      </w:pPr>
    </w:p>
    <w:p w14:paraId="608B5D44" w14:textId="77777777" w:rsidR="00D338A7" w:rsidRPr="003249A9" w:rsidRDefault="009B0817" w:rsidP="00D338A7">
      <w:pPr>
        <w:numPr>
          <w:ilvl w:val="0"/>
          <w:numId w:val="8"/>
        </w:numPr>
        <w:spacing w:after="0" w:line="240" w:lineRule="auto"/>
        <w:contextualSpacing/>
        <w:rPr>
          <w:rFonts w:cs="Arial"/>
          <w:iCs/>
        </w:rPr>
      </w:pPr>
      <w:r w:rsidRPr="003249A9">
        <w:rPr>
          <w:rFonts w:cs="Arial"/>
          <w:iCs/>
        </w:rPr>
        <w:t>The Leyland Town Deal has progressed with the signing of Heads of Teams and the development of the business case alongside the design works. The procurement of the professional design team has commenced and is due to be completed in quarter two. The design team will provide information to support the development of the business case for all three projects areas which are Leyland town centre improvements, Leyland Market improvements and a business hub development to offer commercial workspace, events and skills training. Stakeholder engagement will commence, and governance arrangements will be finalised to support the Leyland Town Board and the council with the delivery of the project.</w:t>
      </w:r>
    </w:p>
    <w:p w14:paraId="608B5D45" w14:textId="77777777" w:rsidR="00D338A7" w:rsidRPr="003249A9" w:rsidRDefault="00AC69EF" w:rsidP="00D338A7">
      <w:pPr>
        <w:spacing w:after="160" w:line="259" w:lineRule="auto"/>
        <w:ind w:left="720"/>
        <w:contextualSpacing/>
        <w:rPr>
          <w:rFonts w:cs="Arial"/>
          <w:iCs/>
        </w:rPr>
      </w:pPr>
    </w:p>
    <w:p w14:paraId="608B5D46" w14:textId="77777777" w:rsidR="00D338A7" w:rsidRPr="003249A9" w:rsidRDefault="009B0817" w:rsidP="00D338A7">
      <w:pPr>
        <w:numPr>
          <w:ilvl w:val="0"/>
          <w:numId w:val="8"/>
        </w:numPr>
        <w:spacing w:after="160" w:line="259" w:lineRule="auto"/>
        <w:contextualSpacing/>
        <w:rPr>
          <w:rFonts w:cs="Arial"/>
          <w:iCs/>
        </w:rPr>
      </w:pPr>
      <w:r w:rsidRPr="003249A9">
        <w:rPr>
          <w:rFonts w:cs="Arial"/>
          <w:iCs/>
        </w:rPr>
        <w:t>Of the three projects within this priority, two are rated green and one is rated amber.</w:t>
      </w:r>
    </w:p>
    <w:tbl>
      <w:tblPr>
        <w:tblpPr w:leftFromText="180" w:rightFromText="180" w:vertAnchor="text" w:horzAnchor="margin" w:tblpY="169"/>
        <w:tblOverlap w:val="never"/>
        <w:tblW w:w="9909" w:type="dxa"/>
        <w:tblLook w:val="04A0" w:firstRow="1" w:lastRow="0" w:firstColumn="1" w:lastColumn="0" w:noHBand="0" w:noVBand="1"/>
      </w:tblPr>
      <w:tblGrid>
        <w:gridCol w:w="7852"/>
        <w:gridCol w:w="2057"/>
      </w:tblGrid>
      <w:tr w:rsidR="00511E98" w14:paraId="608B5D49" w14:textId="77777777" w:rsidTr="00D338A7">
        <w:trPr>
          <w:trHeight w:val="334"/>
        </w:trPr>
        <w:tc>
          <w:tcPr>
            <w:tcW w:w="7852" w:type="dxa"/>
            <w:tcBorders>
              <w:top w:val="single" w:sz="4" w:space="0" w:color="auto"/>
              <w:left w:val="single" w:sz="4" w:space="0" w:color="auto"/>
              <w:right w:val="single" w:sz="4" w:space="0" w:color="auto"/>
            </w:tcBorders>
            <w:shd w:val="clear" w:color="auto" w:fill="BFBFBF"/>
            <w:vAlign w:val="center"/>
          </w:tcPr>
          <w:p w14:paraId="608B5D47" w14:textId="77777777" w:rsidR="00D338A7" w:rsidRPr="003249A9" w:rsidRDefault="00AC69EF" w:rsidP="00D338A7">
            <w:pPr>
              <w:spacing w:after="0" w:line="240" w:lineRule="auto"/>
              <w:rPr>
                <w:rFonts w:ascii="Arial" w:eastAsia="Times New Roman" w:hAnsi="Arial" w:cs="Arial"/>
                <w:b/>
                <w:szCs w:val="20"/>
                <w:lang w:eastAsia="en-GB"/>
              </w:rPr>
            </w:pPr>
          </w:p>
        </w:tc>
        <w:tc>
          <w:tcPr>
            <w:tcW w:w="2057" w:type="dxa"/>
            <w:tcBorders>
              <w:top w:val="single" w:sz="4" w:space="0" w:color="auto"/>
              <w:left w:val="single" w:sz="4" w:space="0" w:color="auto"/>
              <w:right w:val="single" w:sz="4" w:space="0" w:color="auto"/>
            </w:tcBorders>
            <w:shd w:val="clear" w:color="auto" w:fill="BFBFBF"/>
            <w:vAlign w:val="center"/>
          </w:tcPr>
          <w:p w14:paraId="608B5D48"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2021-22</w:t>
            </w:r>
          </w:p>
        </w:tc>
      </w:tr>
      <w:tr w:rsidR="00511E98" w14:paraId="608B5D4D" w14:textId="77777777" w:rsidTr="00D338A7">
        <w:trPr>
          <w:trHeight w:val="497"/>
        </w:trPr>
        <w:tc>
          <w:tcPr>
            <w:tcW w:w="7852" w:type="dxa"/>
            <w:tcBorders>
              <w:left w:val="single" w:sz="4" w:space="0" w:color="auto"/>
              <w:bottom w:val="single" w:sz="4" w:space="0" w:color="auto"/>
              <w:right w:val="single" w:sz="4" w:space="0" w:color="auto"/>
            </w:tcBorders>
            <w:shd w:val="clear" w:color="auto" w:fill="BFBFBF"/>
            <w:vAlign w:val="center"/>
          </w:tcPr>
          <w:p w14:paraId="608B5D4A" w14:textId="77777777" w:rsidR="00D338A7" w:rsidRPr="003249A9" w:rsidRDefault="009B0817" w:rsidP="00D338A7">
            <w:pPr>
              <w:spacing w:after="0" w:line="240" w:lineRule="auto"/>
              <w:rPr>
                <w:rFonts w:ascii="Arial" w:eastAsia="Times New Roman" w:hAnsi="Arial" w:cs="Arial"/>
                <w:b/>
                <w:szCs w:val="20"/>
                <w:lang w:eastAsia="en-GB"/>
              </w:rPr>
            </w:pPr>
            <w:r w:rsidRPr="003249A9">
              <w:rPr>
                <w:rFonts w:ascii="Arial" w:eastAsia="Times New Roman" w:hAnsi="Arial" w:cs="Arial"/>
                <w:b/>
                <w:szCs w:val="20"/>
                <w:lang w:eastAsia="en-GB"/>
              </w:rPr>
              <w:t>Projects</w:t>
            </w:r>
          </w:p>
        </w:tc>
        <w:tc>
          <w:tcPr>
            <w:tcW w:w="2057" w:type="dxa"/>
            <w:tcBorders>
              <w:left w:val="single" w:sz="4" w:space="0" w:color="auto"/>
              <w:bottom w:val="single" w:sz="4" w:space="0" w:color="auto"/>
              <w:right w:val="single" w:sz="4" w:space="0" w:color="auto"/>
            </w:tcBorders>
            <w:shd w:val="clear" w:color="auto" w:fill="BFBFBF"/>
            <w:vAlign w:val="center"/>
          </w:tcPr>
          <w:p w14:paraId="608B5D4B"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Quarter 1</w:t>
            </w:r>
          </w:p>
          <w:p w14:paraId="608B5D4C"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(Apr – Jun)</w:t>
            </w:r>
          </w:p>
        </w:tc>
      </w:tr>
      <w:tr w:rsidR="00511E98" w14:paraId="608B5D50" w14:textId="77777777" w:rsidTr="00D338A7">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08B5D4E" w14:textId="77777777" w:rsidR="00D338A7" w:rsidRPr="003249A9" w:rsidRDefault="009B0817" w:rsidP="00D338A7">
            <w:pPr>
              <w:spacing w:after="0" w:line="240" w:lineRule="auto"/>
              <w:rPr>
                <w:rFonts w:ascii="Arial" w:eastAsia="Times New Roman" w:hAnsi="Arial" w:cs="Arial"/>
                <w:szCs w:val="20"/>
                <w:lang w:eastAsia="en-GB"/>
              </w:rPr>
            </w:pPr>
            <w:bookmarkStart w:id="12" w:name="_Hlk70519343"/>
            <w:r w:rsidRPr="003249A9">
              <w:rPr>
                <w:rFonts w:ascii="Arial" w:eastAsia="Times New Roman" w:hAnsi="Arial" w:cs="Times New Roman"/>
                <w:b/>
                <w:bCs/>
                <w:szCs w:val="20"/>
                <w:lang w:eastAsia="en-GB"/>
              </w:rPr>
              <w:t>Implement the community wealth building action plan</w:t>
            </w:r>
            <w:bookmarkEnd w:id="12"/>
          </w:p>
        </w:tc>
        <w:tc>
          <w:tcPr>
            <w:tcW w:w="2057" w:type="dxa"/>
            <w:tcBorders>
              <w:top w:val="single" w:sz="4" w:space="0" w:color="auto"/>
              <w:left w:val="single" w:sz="4" w:space="0" w:color="auto"/>
              <w:bottom w:val="single" w:sz="4" w:space="0" w:color="auto"/>
              <w:right w:val="single" w:sz="4" w:space="0" w:color="auto"/>
            </w:tcBorders>
            <w:shd w:val="clear" w:color="auto" w:fill="92D050"/>
            <w:vAlign w:val="center"/>
          </w:tcPr>
          <w:p w14:paraId="608B5D4F"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R="00511E98" w14:paraId="608B5D53" w14:textId="77777777" w:rsidTr="00D338A7">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08B5D51" w14:textId="77777777" w:rsidR="00D338A7" w:rsidRPr="003249A9" w:rsidRDefault="009B0817" w:rsidP="00D338A7">
            <w:pPr>
              <w:widowControl w:val="0"/>
              <w:spacing w:after="0" w:line="240" w:lineRule="auto"/>
              <w:rPr>
                <w:rFonts w:ascii="Arial" w:eastAsia="Times New Roman" w:hAnsi="Arial" w:cs="Times New Roman"/>
                <w:b/>
                <w:bCs/>
                <w:szCs w:val="20"/>
                <w:lang w:eastAsia="en-GB"/>
              </w:rPr>
            </w:pPr>
            <w:r w:rsidRPr="003249A9">
              <w:rPr>
                <w:rFonts w:ascii="Arial" w:eastAsia="Times New Roman" w:hAnsi="Arial" w:cs="Times New Roman"/>
                <w:b/>
                <w:bCs/>
                <w:szCs w:val="20"/>
                <w:lang w:eastAsia="en-GB"/>
              </w:rPr>
              <w:t>Establish a business support programme</w:t>
            </w:r>
          </w:p>
        </w:tc>
        <w:tc>
          <w:tcPr>
            <w:tcW w:w="2057" w:type="dxa"/>
            <w:tcBorders>
              <w:top w:val="single" w:sz="4" w:space="0" w:color="auto"/>
              <w:left w:val="single" w:sz="4" w:space="0" w:color="auto"/>
              <w:bottom w:val="single" w:sz="4" w:space="0" w:color="auto"/>
              <w:right w:val="single" w:sz="4" w:space="0" w:color="auto"/>
            </w:tcBorders>
            <w:shd w:val="clear" w:color="auto" w:fill="FFC000"/>
            <w:vAlign w:val="center"/>
          </w:tcPr>
          <w:p w14:paraId="608B5D52"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Amber</w:t>
            </w:r>
          </w:p>
        </w:tc>
      </w:tr>
      <w:tr w:rsidR="00511E98" w14:paraId="608B5D56" w14:textId="77777777" w:rsidTr="00D338A7">
        <w:trPr>
          <w:trHeight w:val="497"/>
        </w:trPr>
        <w:tc>
          <w:tcPr>
            <w:tcW w:w="7852" w:type="dxa"/>
            <w:tcBorders>
              <w:top w:val="single" w:sz="4" w:space="0" w:color="auto"/>
              <w:left w:val="single" w:sz="4" w:space="0" w:color="auto"/>
              <w:bottom w:val="single" w:sz="4" w:space="0" w:color="auto"/>
              <w:right w:val="single" w:sz="4" w:space="0" w:color="auto"/>
            </w:tcBorders>
            <w:shd w:val="clear" w:color="auto" w:fill="auto"/>
            <w:vAlign w:val="center"/>
          </w:tcPr>
          <w:p w14:paraId="608B5D54" w14:textId="77777777" w:rsidR="00D338A7" w:rsidRPr="003249A9" w:rsidRDefault="009B0817" w:rsidP="00D338A7">
            <w:pPr>
              <w:widowControl w:val="0"/>
              <w:spacing w:after="0" w:line="240" w:lineRule="auto"/>
              <w:rPr>
                <w:rFonts w:ascii="Arial" w:eastAsia="Times New Roman" w:hAnsi="Arial" w:cs="Times New Roman"/>
                <w:b/>
                <w:bCs/>
                <w:szCs w:val="20"/>
                <w:lang w:eastAsia="en-GB"/>
              </w:rPr>
            </w:pPr>
            <w:r w:rsidRPr="003249A9">
              <w:rPr>
                <w:rFonts w:ascii="Arial" w:eastAsia="Times New Roman" w:hAnsi="Arial" w:cs="Times New Roman"/>
                <w:b/>
                <w:bCs/>
                <w:szCs w:val="20"/>
                <w:lang w:eastAsia="en-GB"/>
              </w:rPr>
              <w:t>Deliver year 1 of the Town Deal</w:t>
            </w:r>
          </w:p>
        </w:tc>
        <w:tc>
          <w:tcPr>
            <w:tcW w:w="2057" w:type="dxa"/>
            <w:tcBorders>
              <w:top w:val="single" w:sz="4" w:space="0" w:color="auto"/>
              <w:left w:val="single" w:sz="4" w:space="0" w:color="auto"/>
              <w:bottom w:val="single" w:sz="4" w:space="0" w:color="auto"/>
              <w:right w:val="single" w:sz="4" w:space="0" w:color="auto"/>
            </w:tcBorders>
            <w:shd w:val="clear" w:color="auto" w:fill="92D050"/>
            <w:vAlign w:val="center"/>
          </w:tcPr>
          <w:p w14:paraId="608B5D55"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bl>
    <w:p w14:paraId="608B5D57" w14:textId="77777777" w:rsidR="00D338A7" w:rsidRPr="003249A9" w:rsidRDefault="00AC69EF" w:rsidP="00D338A7">
      <w:pPr>
        <w:spacing w:after="0" w:line="240" w:lineRule="auto"/>
        <w:rPr>
          <w:rFonts w:cs="Arial"/>
          <w:iCs/>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6175"/>
        <w:gridCol w:w="2056"/>
      </w:tblGrid>
      <w:tr w:rsidR="00511E98" w14:paraId="608B5D5B" w14:textId="77777777" w:rsidTr="00D338A7">
        <w:trPr>
          <w:trHeight w:val="1267"/>
        </w:trPr>
        <w:tc>
          <w:tcPr>
            <w:tcW w:w="7878" w:type="dxa"/>
            <w:gridSpan w:val="2"/>
            <w:shd w:val="clear" w:color="auto" w:fill="auto"/>
            <w:vAlign w:val="center"/>
          </w:tcPr>
          <w:p w14:paraId="608B5D58" w14:textId="77777777" w:rsidR="00D338A7" w:rsidRPr="003249A9" w:rsidRDefault="009B0817" w:rsidP="00D338A7">
            <w:pPr>
              <w:widowControl w:val="0"/>
              <w:rPr>
                <w:rFonts w:eastAsia="Calibri"/>
                <w:b/>
              </w:rPr>
            </w:pPr>
            <w:r w:rsidRPr="003249A9">
              <w:rPr>
                <w:rFonts w:ascii="Arial" w:eastAsia="Times New Roman" w:hAnsi="Arial" w:cs="Times New Roman"/>
                <w:b/>
                <w:bCs/>
                <w:szCs w:val="20"/>
                <w:lang w:eastAsia="en-GB"/>
              </w:rPr>
              <w:lastRenderedPageBreak/>
              <w:t>Establish a business support programme</w:t>
            </w:r>
            <w:r w:rsidRPr="003249A9">
              <w:rPr>
                <w:rFonts w:eastAsia="Calibri"/>
                <w:b/>
              </w:rPr>
              <w:t>:</w:t>
            </w:r>
          </w:p>
          <w:p w14:paraId="608B5D59" w14:textId="77777777" w:rsidR="00D338A7" w:rsidRPr="003249A9" w:rsidRDefault="009B0817" w:rsidP="00D338A7">
            <w:pPr>
              <w:widowControl w:val="0"/>
              <w:rPr>
                <w:bCs/>
              </w:rPr>
            </w:pPr>
            <w:r w:rsidRPr="003249A9">
              <w:rPr>
                <w:bCs/>
              </w:rPr>
              <w:t>A bespoke programme of business support to meet the longer term needs of businesses from across the borough as they recover from the Covid-19 crisis.</w:t>
            </w:r>
          </w:p>
        </w:tc>
        <w:tc>
          <w:tcPr>
            <w:tcW w:w="2056" w:type="dxa"/>
            <w:shd w:val="clear" w:color="auto" w:fill="FFC000"/>
            <w:vAlign w:val="center"/>
          </w:tcPr>
          <w:p w14:paraId="608B5D5A" w14:textId="77777777" w:rsidR="00D338A7" w:rsidRPr="003249A9" w:rsidRDefault="009B0817" w:rsidP="00D338A7">
            <w:pPr>
              <w:widowControl w:val="0"/>
              <w:spacing w:after="0" w:line="259" w:lineRule="auto"/>
              <w:contextualSpacing/>
              <w:jc w:val="center"/>
              <w:outlineLvl w:val="0"/>
              <w:rPr>
                <w:b/>
                <w:color w:val="FFC000"/>
              </w:rPr>
            </w:pPr>
            <w:r w:rsidRPr="003249A9">
              <w:rPr>
                <w:b/>
                <w:bCs/>
                <w:color w:val="FFFFFF" w:themeColor="background1"/>
                <w:sz w:val="24"/>
                <w:szCs w:val="24"/>
              </w:rPr>
              <w:t>AMBER</w:t>
            </w:r>
          </w:p>
        </w:tc>
      </w:tr>
      <w:tr w:rsidR="00511E98" w14:paraId="608B5D5F" w14:textId="77777777" w:rsidTr="00D338A7">
        <w:trPr>
          <w:cantSplit/>
          <w:trHeight w:val="972"/>
        </w:trPr>
        <w:tc>
          <w:tcPr>
            <w:tcW w:w="1703" w:type="dxa"/>
            <w:shd w:val="clear" w:color="auto" w:fill="auto"/>
          </w:tcPr>
          <w:p w14:paraId="608B5D5C" w14:textId="77777777" w:rsidR="00D338A7" w:rsidRPr="003249A9" w:rsidRDefault="009B0817" w:rsidP="00D338A7">
            <w:pPr>
              <w:widowControl w:val="0"/>
              <w:rPr>
                <w:b/>
                <w:bCs/>
                <w:color w:val="FF0000"/>
              </w:rPr>
            </w:pPr>
            <w:r w:rsidRPr="003249A9">
              <w:rPr>
                <w:b/>
                <w:bCs/>
              </w:rPr>
              <w:t>Issue:</w:t>
            </w:r>
          </w:p>
        </w:tc>
        <w:tc>
          <w:tcPr>
            <w:tcW w:w="8231" w:type="dxa"/>
            <w:gridSpan w:val="2"/>
            <w:shd w:val="clear" w:color="auto" w:fill="auto"/>
            <w:vAlign w:val="center"/>
          </w:tcPr>
          <w:p w14:paraId="608B5D5D" w14:textId="77777777" w:rsidR="00D338A7" w:rsidRPr="003249A9" w:rsidRDefault="009B0817" w:rsidP="00D338A7">
            <w:pPr>
              <w:spacing w:line="240" w:lineRule="auto"/>
            </w:pPr>
            <w:r w:rsidRPr="003249A9">
              <w:t xml:space="preserve">This project has been rated amber as business support project timelines are aligned and dictated by the government ARG (Additional Restriction Grant) funding. The business support project will commence once the government Covid-19 business support programmes draw to a close. </w:t>
            </w:r>
          </w:p>
          <w:p w14:paraId="608B5D5E" w14:textId="77777777" w:rsidR="00D338A7" w:rsidRPr="003249A9" w:rsidRDefault="009B0817" w:rsidP="00D338A7">
            <w:pPr>
              <w:spacing w:line="240" w:lineRule="auto"/>
            </w:pPr>
            <w:r w:rsidRPr="003249A9">
              <w:t xml:space="preserve">In quarter one, new government guidance was released, the Covid restrictions extended to 19th July and extensions to Restart and ARG grant payment deadlines until 30th July have impacted on the timelines of the project. </w:t>
            </w:r>
          </w:p>
        </w:tc>
      </w:tr>
      <w:tr w:rsidR="00511E98" w14:paraId="608B5D63" w14:textId="77777777" w:rsidTr="00D338A7">
        <w:trPr>
          <w:cantSplit/>
          <w:trHeight w:val="692"/>
        </w:trPr>
        <w:tc>
          <w:tcPr>
            <w:tcW w:w="1703" w:type="dxa"/>
            <w:shd w:val="clear" w:color="auto" w:fill="auto"/>
          </w:tcPr>
          <w:p w14:paraId="608B5D60" w14:textId="77777777" w:rsidR="00D338A7" w:rsidRPr="003249A9" w:rsidRDefault="009B0817" w:rsidP="00D338A7">
            <w:pPr>
              <w:widowControl w:val="0"/>
            </w:pPr>
            <w:r w:rsidRPr="003249A9">
              <w:rPr>
                <w:b/>
                <w:bCs/>
              </w:rPr>
              <w:t xml:space="preserve">Actions Plan -What will be done: </w:t>
            </w:r>
          </w:p>
        </w:tc>
        <w:tc>
          <w:tcPr>
            <w:tcW w:w="8231" w:type="dxa"/>
            <w:gridSpan w:val="2"/>
            <w:shd w:val="clear" w:color="auto" w:fill="auto"/>
          </w:tcPr>
          <w:p w14:paraId="608B5D61" w14:textId="77777777" w:rsidR="00D338A7" w:rsidRPr="003249A9" w:rsidRDefault="009B0817" w:rsidP="00D338A7">
            <w:pPr>
              <w:widowControl w:val="0"/>
              <w:spacing w:after="0" w:line="240" w:lineRule="auto"/>
              <w:rPr>
                <w:rFonts w:eastAsia="Calibri" w:cs="Arial"/>
                <w:bCs/>
              </w:rPr>
            </w:pPr>
            <w:r w:rsidRPr="003249A9">
              <w:rPr>
                <w:rFonts w:eastAsia="Calibri" w:cs="Arial"/>
                <w:bCs/>
              </w:rPr>
              <w:t xml:space="preserve">A draft scheme and project initiation document including </w:t>
            </w:r>
            <w:r>
              <w:rPr>
                <w:rFonts w:eastAsia="Calibri" w:cs="Arial"/>
                <w:bCs/>
              </w:rPr>
              <w:t>‘P</w:t>
            </w:r>
            <w:r w:rsidRPr="003249A9">
              <w:rPr>
                <w:rFonts w:eastAsia="Calibri" w:cs="Arial"/>
                <w:bCs/>
              </w:rPr>
              <w:t>hase 2</w:t>
            </w:r>
            <w:r>
              <w:rPr>
                <w:rFonts w:eastAsia="Calibri" w:cs="Arial"/>
                <w:bCs/>
              </w:rPr>
              <w:t>’</w:t>
            </w:r>
            <w:r w:rsidRPr="003249A9">
              <w:rPr>
                <w:rFonts w:eastAsia="Calibri" w:cs="Arial"/>
                <w:bCs/>
              </w:rPr>
              <w:t xml:space="preserve"> design, implementation and monitoring of the extended support programme are to be presented to Cabinet for approval in quarter two. </w:t>
            </w:r>
            <w:r>
              <w:rPr>
                <w:rFonts w:eastAsia="Calibri" w:cs="Arial"/>
                <w:bCs/>
              </w:rPr>
              <w:t>‘</w:t>
            </w:r>
            <w:r w:rsidRPr="003249A9">
              <w:rPr>
                <w:rFonts w:eastAsia="Calibri" w:cs="Arial"/>
                <w:bCs/>
              </w:rPr>
              <w:t>Phase 2</w:t>
            </w:r>
            <w:r>
              <w:rPr>
                <w:rFonts w:eastAsia="Calibri" w:cs="Arial"/>
                <w:bCs/>
              </w:rPr>
              <w:t>’</w:t>
            </w:r>
            <w:r w:rsidRPr="003249A9">
              <w:rPr>
                <w:rFonts w:eastAsia="Calibri" w:cs="Arial"/>
                <w:bCs/>
              </w:rPr>
              <w:t xml:space="preserve"> sets out the extended business support programme which seeks to deliver a business grants programme using the corporate business support budget and the </w:t>
            </w:r>
            <w:r>
              <w:rPr>
                <w:rFonts w:eastAsia="Calibri" w:cs="Arial"/>
                <w:bCs/>
              </w:rPr>
              <w:t>‘</w:t>
            </w:r>
            <w:r w:rsidRPr="003249A9">
              <w:rPr>
                <w:rFonts w:eastAsia="Calibri" w:cs="Arial"/>
                <w:bCs/>
              </w:rPr>
              <w:t>ARG (</w:t>
            </w:r>
            <w:r w:rsidRPr="003249A9">
              <w:rPr>
                <w:lang w:val="en-US"/>
              </w:rPr>
              <w:t>Additional Restrictions</w:t>
            </w:r>
            <w:r>
              <w:rPr>
                <w:lang w:val="en-US"/>
              </w:rPr>
              <w:t xml:space="preserve"> Grant</w:t>
            </w:r>
            <w:r w:rsidRPr="003249A9">
              <w:rPr>
                <w:lang w:val="en-US"/>
              </w:rPr>
              <w:t>)</w:t>
            </w:r>
            <w:r w:rsidRPr="003249A9">
              <w:rPr>
                <w:rFonts w:eastAsia="Calibri" w:cs="Arial"/>
                <w:bCs/>
              </w:rPr>
              <w:t xml:space="preserve"> </w:t>
            </w:r>
            <w:r>
              <w:rPr>
                <w:rFonts w:eastAsia="Calibri" w:cs="Arial"/>
                <w:bCs/>
              </w:rPr>
              <w:t>T</w:t>
            </w:r>
            <w:r w:rsidRPr="003249A9">
              <w:rPr>
                <w:rFonts w:eastAsia="Calibri" w:cs="Arial"/>
                <w:bCs/>
              </w:rPr>
              <w:t>ranche 3</w:t>
            </w:r>
            <w:r>
              <w:rPr>
                <w:rFonts w:eastAsia="Calibri" w:cs="Arial"/>
                <w:bCs/>
              </w:rPr>
              <w:t>’</w:t>
            </w:r>
            <w:r w:rsidRPr="003249A9">
              <w:rPr>
                <w:rFonts w:eastAsia="Calibri" w:cs="Arial"/>
                <w:bCs/>
              </w:rPr>
              <w:t xml:space="preserve">, as part of a single grant scheme. This will be subject to any further changes to the Governments business support guidance and programmes. </w:t>
            </w:r>
          </w:p>
          <w:p w14:paraId="608B5D62" w14:textId="77777777" w:rsidR="00D338A7" w:rsidRPr="003249A9" w:rsidRDefault="00AC69EF" w:rsidP="00D338A7">
            <w:pPr>
              <w:widowControl w:val="0"/>
              <w:spacing w:after="0" w:line="240" w:lineRule="auto"/>
              <w:rPr>
                <w:rFonts w:eastAsia="Calibri" w:cs="Arial"/>
                <w:bCs/>
              </w:rPr>
            </w:pPr>
          </w:p>
        </w:tc>
      </w:tr>
    </w:tbl>
    <w:p w14:paraId="608B5D64" w14:textId="77777777" w:rsidR="00D338A7" w:rsidRPr="003249A9" w:rsidRDefault="009B0817" w:rsidP="00D338A7">
      <w:pPr>
        <w:spacing w:before="100" w:beforeAutospacing="1" w:after="100" w:afterAutospacing="1" w:line="240" w:lineRule="auto"/>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t>Key Performance Indicators</w:t>
      </w:r>
    </w:p>
    <w:p w14:paraId="608B5D65"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Of the four performance measures reported under this priority, one measure is due to be reported this quarter and is rated green:</w:t>
      </w:r>
    </w:p>
    <w:p w14:paraId="608B5D66" w14:textId="77777777" w:rsidR="00D338A7" w:rsidRPr="003249A9" w:rsidRDefault="00AC69EF" w:rsidP="00D338A7">
      <w:pPr>
        <w:spacing w:after="0" w:line="240" w:lineRule="auto"/>
        <w:ind w:left="720"/>
        <w:contextualSpacing/>
        <w:rPr>
          <w:rFonts w:ascii="Arial" w:eastAsia="Calibri" w:hAnsi="Arial" w:cs="Times New Roman"/>
        </w:rPr>
      </w:pPr>
    </w:p>
    <w:p w14:paraId="608B5D67"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16 -17year olds not in education or training (NEET)</w:t>
      </w:r>
    </w:p>
    <w:p w14:paraId="608B5D68" w14:textId="77777777" w:rsidR="00D338A7" w:rsidRPr="003249A9" w:rsidRDefault="00AC69EF" w:rsidP="00D338A7">
      <w:pPr>
        <w:spacing w:after="0" w:line="240" w:lineRule="auto"/>
        <w:contextualSpacing/>
        <w:rPr>
          <w:rFonts w:ascii="Arial" w:eastAsia="Calibri" w:hAnsi="Arial" w:cs="Arial"/>
        </w:rPr>
      </w:pPr>
    </w:p>
    <w:p w14:paraId="608B5D69" w14:textId="77777777" w:rsidR="00D338A7" w:rsidRDefault="00AC69EF" w:rsidP="00D338A7">
      <w:pPr>
        <w:spacing w:after="0" w:line="240" w:lineRule="auto"/>
        <w:contextualSpacing/>
        <w:rPr>
          <w:rFonts w:ascii="Arial" w:eastAsia="Calibri" w:hAnsi="Arial" w:cs="Arial"/>
        </w:rPr>
        <w:sectPr w:rsidR="00D338A7" w:rsidSect="00D338A7">
          <w:pgSz w:w="11906" w:h="16838"/>
          <w:pgMar w:top="1440" w:right="1440" w:bottom="851" w:left="1440" w:header="708" w:footer="708" w:gutter="0"/>
          <w:cols w:space="708"/>
          <w:docGrid w:linePitch="360"/>
        </w:sectPr>
      </w:pPr>
    </w:p>
    <w:tbl>
      <w:tblPr>
        <w:tblpPr w:leftFromText="180" w:rightFromText="180" w:vertAnchor="text" w:horzAnchor="margin" w:tblpXSpec="center" w:tblpY="-1094"/>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3041"/>
        <w:gridCol w:w="3044"/>
      </w:tblGrid>
      <w:tr w:rsidR="00511E98" w14:paraId="608B5D6E" w14:textId="77777777" w:rsidTr="00D338A7">
        <w:trPr>
          <w:trHeight w:val="1330"/>
        </w:trPr>
        <w:tc>
          <w:tcPr>
            <w:tcW w:w="9125" w:type="dxa"/>
            <w:gridSpan w:val="3"/>
            <w:tcBorders>
              <w:top w:val="nil"/>
              <w:left w:val="nil"/>
              <w:right w:val="nil"/>
            </w:tcBorders>
            <w:shd w:val="clear" w:color="auto" w:fill="auto"/>
          </w:tcPr>
          <w:p w14:paraId="608B5D6A" w14:textId="77777777" w:rsidR="00D338A7" w:rsidRPr="003249A9" w:rsidRDefault="009B0817" w:rsidP="00D338A7">
            <w:pPr>
              <w:widowControl w:val="0"/>
              <w:spacing w:after="0" w:line="256" w:lineRule="auto"/>
              <w:ind w:firstLine="208"/>
              <w:contextualSpacing/>
              <w:outlineLvl w:val="0"/>
              <w:rPr>
                <w:rFonts w:ascii="Arial" w:eastAsia="Calibri" w:hAnsi="Arial" w:cs="Arial"/>
                <w:b/>
              </w:rPr>
            </w:pPr>
            <w:bookmarkStart w:id="13" w:name="_Hlk54078399"/>
            <w:r w:rsidRPr="003249A9">
              <w:rPr>
                <w:rFonts w:ascii="Arial" w:eastAsia="Calibri" w:hAnsi="Arial" w:cs="Times New Roman"/>
                <w:noProof/>
              </w:rPr>
              <w:lastRenderedPageBreak/>
              <w:drawing>
                <wp:anchor distT="0" distB="0" distL="114300" distR="114300" simplePos="0" relativeHeight="251659264" behindDoc="0" locked="0" layoutInCell="1" allowOverlap="1" wp14:anchorId="608B5EE6" wp14:editId="608B5EE7">
                  <wp:simplePos x="0" y="0"/>
                  <wp:positionH relativeFrom="column">
                    <wp:posOffset>-68324</wp:posOffset>
                  </wp:positionH>
                  <wp:positionV relativeFrom="paragraph">
                    <wp:posOffset>503</wp:posOffset>
                  </wp:positionV>
                  <wp:extent cx="1499361" cy="1187355"/>
                  <wp:effectExtent l="0" t="0" r="5715"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18330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l="14021" t="15692" r="6085" b="20744"/>
                          <a:stretch>
                            <a:fillRect/>
                          </a:stretch>
                        </pic:blipFill>
                        <pic:spPr bwMode="auto">
                          <a:xfrm>
                            <a:off x="0" y="0"/>
                            <a:ext cx="1499361" cy="1187355"/>
                          </a:xfrm>
                          <a:prstGeom prst="rect">
                            <a:avLst/>
                          </a:prstGeom>
                          <a:noFill/>
                          <a:ln>
                            <a:noFill/>
                          </a:ln>
                        </pic:spPr>
                      </pic:pic>
                    </a:graphicData>
                  </a:graphic>
                </wp:anchor>
              </w:drawing>
            </w:r>
            <w:r>
              <w:rPr>
                <w:rFonts w:ascii="Arial" w:eastAsia="Calibri" w:hAnsi="Arial" w:cs="Times New Roman"/>
              </w:rPr>
              <w:object w:dxaOrig="4755" w:dyaOrig="1875" w14:anchorId="608B5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6pt;height:93.6pt" o:ole="">
                  <v:imagedata r:id="rId17" o:title=""/>
                </v:shape>
                <o:OLEObject Type="Embed" ProgID="PBrush" ShapeID="_x0000_i1025" DrawAspect="Content" ObjectID="_1692512816" r:id="rId18"/>
              </w:object>
            </w:r>
          </w:p>
          <w:p w14:paraId="608B5D6B" w14:textId="77777777" w:rsidR="00D338A7" w:rsidRPr="003249A9" w:rsidRDefault="00AC69EF" w:rsidP="00D338A7">
            <w:pPr>
              <w:widowControl w:val="0"/>
              <w:spacing w:after="0" w:line="256" w:lineRule="auto"/>
              <w:contextualSpacing/>
              <w:outlineLvl w:val="0"/>
              <w:rPr>
                <w:rFonts w:ascii="Arial" w:eastAsia="Calibri" w:hAnsi="Arial" w:cs="Arial"/>
                <w:b/>
                <w:color w:val="8BBD3B"/>
              </w:rPr>
            </w:pPr>
          </w:p>
          <w:p w14:paraId="608B5D6C" w14:textId="77777777" w:rsidR="00D338A7" w:rsidRPr="003249A9" w:rsidRDefault="009B0817" w:rsidP="00D338A7">
            <w:pPr>
              <w:widowControl w:val="0"/>
              <w:spacing w:after="0" w:line="256" w:lineRule="auto"/>
              <w:contextualSpacing/>
              <w:outlineLvl w:val="0"/>
              <w:rPr>
                <w:rFonts w:ascii="Arial" w:eastAsia="Calibri" w:hAnsi="Arial" w:cs="Arial"/>
                <w:b/>
                <w:color w:val="8BBD3B"/>
              </w:rPr>
            </w:pPr>
            <w:r w:rsidRPr="003249A9">
              <w:rPr>
                <w:rFonts w:ascii="Arial" w:eastAsia="Calibri" w:hAnsi="Arial" w:cs="Arial"/>
                <w:b/>
                <w:color w:val="8BBD3B"/>
              </w:rPr>
              <w:t>A BOROUGH WITH:</w:t>
            </w:r>
          </w:p>
          <w:p w14:paraId="608B5D6D" w14:textId="77777777" w:rsidR="00D338A7" w:rsidRPr="003249A9" w:rsidRDefault="00AC69EF" w:rsidP="00D338A7">
            <w:pPr>
              <w:widowControl w:val="0"/>
              <w:spacing w:after="0" w:line="256" w:lineRule="auto"/>
              <w:contextualSpacing/>
              <w:outlineLvl w:val="0"/>
              <w:rPr>
                <w:rFonts w:ascii="Arial" w:eastAsia="Calibri" w:hAnsi="Arial" w:cs="Arial"/>
                <w:b/>
                <w:color w:val="8BBD3B"/>
              </w:rPr>
            </w:pPr>
          </w:p>
        </w:tc>
      </w:tr>
      <w:tr w:rsidR="00511E98" w14:paraId="608B5D72" w14:textId="77777777" w:rsidTr="00D338A7">
        <w:trPr>
          <w:trHeight w:val="617"/>
        </w:trPr>
        <w:tc>
          <w:tcPr>
            <w:tcW w:w="3040" w:type="dxa"/>
            <w:tcBorders>
              <w:top w:val="single" w:sz="18" w:space="0" w:color="FFFFFF"/>
              <w:left w:val="single" w:sz="18" w:space="0" w:color="FFFFFF"/>
              <w:bottom w:val="single" w:sz="18" w:space="0" w:color="FFFFFF"/>
              <w:right w:val="single" w:sz="18" w:space="0" w:color="FFFFFF"/>
            </w:tcBorders>
            <w:shd w:val="clear" w:color="auto" w:fill="auto"/>
          </w:tcPr>
          <w:p w14:paraId="608B5D6F" w14:textId="77777777" w:rsidR="00D338A7" w:rsidRPr="003249A9" w:rsidRDefault="009B0817" w:rsidP="00D338A7">
            <w:pPr>
              <w:widowControl w:val="0"/>
              <w:spacing w:after="0" w:line="256" w:lineRule="auto"/>
              <w:contextualSpacing/>
              <w:outlineLvl w:val="0"/>
              <w:rPr>
                <w:rFonts w:ascii="Arial" w:eastAsia="Calibri" w:hAnsi="Arial" w:cs="Arial"/>
                <w:b/>
                <w:color w:val="8BBD3B"/>
              </w:rPr>
            </w:pPr>
            <w:r w:rsidRPr="003249A9">
              <w:rPr>
                <w:rFonts w:ascii="Arial" w:eastAsia="Calibri" w:hAnsi="Arial" w:cs="Arial"/>
                <w:b/>
                <w:color w:val="8BBD3B"/>
              </w:rPr>
              <w:t>A choice of decent, affordable housing</w:t>
            </w:r>
          </w:p>
        </w:tc>
        <w:tc>
          <w:tcPr>
            <w:tcW w:w="3041" w:type="dxa"/>
            <w:tcBorders>
              <w:top w:val="single" w:sz="18" w:space="0" w:color="FFFFFF"/>
              <w:left w:val="single" w:sz="18" w:space="0" w:color="FFFFFF"/>
              <w:bottom w:val="single" w:sz="18" w:space="0" w:color="FFFFFF"/>
              <w:right w:val="single" w:sz="18" w:space="0" w:color="FFFFFF"/>
            </w:tcBorders>
            <w:shd w:val="clear" w:color="auto" w:fill="auto"/>
          </w:tcPr>
          <w:p w14:paraId="608B5D70" w14:textId="77777777" w:rsidR="00D338A7" w:rsidRPr="003249A9" w:rsidRDefault="009B0817" w:rsidP="00D338A7">
            <w:pPr>
              <w:widowControl w:val="0"/>
              <w:spacing w:after="0" w:line="256" w:lineRule="auto"/>
              <w:contextualSpacing/>
              <w:outlineLvl w:val="0"/>
              <w:rPr>
                <w:rFonts w:ascii="Arial" w:eastAsia="Calibri" w:hAnsi="Arial" w:cs="Arial"/>
                <w:b/>
                <w:color w:val="8BBD3B"/>
              </w:rPr>
            </w:pPr>
            <w:r w:rsidRPr="003249A9">
              <w:rPr>
                <w:rFonts w:ascii="Arial" w:eastAsia="Calibri" w:hAnsi="Arial" w:cs="Arial"/>
                <w:b/>
                <w:color w:val="8BBD3B"/>
              </w:rPr>
              <w:t>Commitment to protecting the local environment</w:t>
            </w:r>
          </w:p>
        </w:tc>
        <w:tc>
          <w:tcPr>
            <w:tcW w:w="3043" w:type="dxa"/>
            <w:tcBorders>
              <w:top w:val="single" w:sz="18" w:space="0" w:color="FFFFFF"/>
              <w:left w:val="single" w:sz="18" w:space="0" w:color="FFFFFF"/>
              <w:bottom w:val="single" w:sz="18" w:space="0" w:color="FFFFFF"/>
              <w:right w:val="single" w:sz="18" w:space="0" w:color="FFFFFF"/>
            </w:tcBorders>
            <w:shd w:val="clear" w:color="auto" w:fill="auto"/>
          </w:tcPr>
          <w:p w14:paraId="608B5D71" w14:textId="77777777" w:rsidR="00D338A7" w:rsidRPr="003249A9" w:rsidRDefault="009B0817" w:rsidP="00D338A7">
            <w:pPr>
              <w:widowControl w:val="0"/>
              <w:spacing w:after="0" w:line="256" w:lineRule="auto"/>
              <w:contextualSpacing/>
              <w:outlineLvl w:val="0"/>
              <w:rPr>
                <w:rFonts w:ascii="Arial" w:eastAsia="Calibri" w:hAnsi="Arial" w:cs="Arial"/>
                <w:b/>
                <w:color w:val="8BBD3B"/>
              </w:rPr>
            </w:pPr>
            <w:r w:rsidRPr="003249A9">
              <w:rPr>
                <w:rFonts w:ascii="Arial" w:eastAsia="Calibri" w:hAnsi="Arial" w:cs="Arial"/>
                <w:b/>
                <w:color w:val="8BBD3B"/>
              </w:rPr>
              <w:t>A choice of quality recreational activities</w:t>
            </w:r>
          </w:p>
        </w:tc>
      </w:tr>
      <w:bookmarkEnd w:id="13"/>
    </w:tbl>
    <w:p w14:paraId="608B5D73" w14:textId="77777777" w:rsidR="00D338A7" w:rsidRDefault="00AC69EF" w:rsidP="00D338A7">
      <w:pPr>
        <w:spacing w:after="0" w:line="240" w:lineRule="auto"/>
        <w:contextualSpacing/>
        <w:rPr>
          <w:rFonts w:ascii="Arial" w:eastAsia="Calibri" w:hAnsi="Arial" w:cs="Arial"/>
        </w:rPr>
      </w:pPr>
    </w:p>
    <w:p w14:paraId="608B5D74" w14:textId="77777777" w:rsidR="00D338A7" w:rsidRPr="003249A9" w:rsidRDefault="009B0817" w:rsidP="00D338A7">
      <w:pPr>
        <w:spacing w:before="100" w:beforeAutospacing="1" w:after="100" w:afterAutospacing="1" w:line="240" w:lineRule="auto"/>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t>Achievements this quarter</w:t>
      </w:r>
    </w:p>
    <w:p w14:paraId="608B5D75"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As part of the ongoing commitment to the environment and to help tackle climate change, the Council hosted a </w:t>
      </w:r>
      <w:bookmarkStart w:id="14" w:name="_Hlk80111966"/>
      <w:r w:rsidRPr="003249A9">
        <w:rPr>
          <w:rFonts w:ascii="Arial" w:eastAsia="Calibri" w:hAnsi="Arial" w:cs="Times New Roman"/>
        </w:rPr>
        <w:t>virtual event for ‘World Environment Day’</w:t>
      </w:r>
      <w:bookmarkEnd w:id="14"/>
      <w:r w:rsidRPr="003249A9">
        <w:rPr>
          <w:rFonts w:ascii="Arial" w:eastAsia="Calibri" w:hAnsi="Arial" w:cs="Times New Roman"/>
        </w:rPr>
        <w:t xml:space="preserve">. The Facebook event reached 1,688 people and </w:t>
      </w:r>
      <w:r w:rsidRPr="003249A9">
        <w:t>videos of the event content were shared on the Council’s Facebook main page reaching a joint total of 11,500 people.</w:t>
      </w:r>
      <w:r w:rsidRPr="003249A9">
        <w:rPr>
          <w:rFonts w:ascii="Arial" w:eastAsia="Calibri" w:hAnsi="Arial" w:cs="Times New Roman"/>
        </w:rPr>
        <w:t xml:space="preserve"> The event shared useful information on the changes we can all make to help tackle climate change as well as activity that is happening across the borough through the council and other groups in the community. </w:t>
      </w:r>
      <w:r w:rsidRPr="003249A9">
        <w:rPr>
          <w:rFonts w:cs="Arial"/>
          <w:iCs/>
        </w:rPr>
        <w:t>A new cycle storage facility has been completed at Moss Side depot to encourage staff to use more environmentally friendly means of travel. Looking forward to next quarter, the installation of solar panels at the Civic Centre will be complete. A new building management system will be installed within the Civic Centre to monitor all energy consumption around the building. To encourage residents to consider their own energy consumption, information for the affordable energy saving schemes will be promoted on the Council website.</w:t>
      </w:r>
    </w:p>
    <w:p w14:paraId="608B5D76" w14:textId="77777777" w:rsidR="00D338A7" w:rsidRPr="003249A9" w:rsidRDefault="00AC69EF" w:rsidP="00D338A7">
      <w:pPr>
        <w:spacing w:after="0" w:line="240" w:lineRule="auto"/>
        <w:ind w:left="360"/>
        <w:contextualSpacing/>
        <w:rPr>
          <w:rFonts w:ascii="Arial" w:eastAsia="Calibri" w:hAnsi="Arial" w:cs="Times New Roman"/>
        </w:rPr>
      </w:pPr>
    </w:p>
    <w:p w14:paraId="608B5D77" w14:textId="77777777" w:rsidR="00D338A7" w:rsidRPr="003249A9" w:rsidRDefault="009B0817" w:rsidP="00D338A7">
      <w:pPr>
        <w:numPr>
          <w:ilvl w:val="0"/>
          <w:numId w:val="8"/>
        </w:numPr>
        <w:spacing w:after="0" w:line="240" w:lineRule="auto"/>
        <w:contextualSpacing/>
        <w:rPr>
          <w:rFonts w:ascii="Arial" w:eastAsia="Calibri" w:hAnsi="Arial" w:cs="Times New Roman"/>
          <w:color w:val="FF0000"/>
        </w:rPr>
      </w:pPr>
      <w:r w:rsidRPr="003249A9">
        <w:rPr>
          <w:rFonts w:ascii="Arial" w:eastAsia="Calibri" w:hAnsi="Arial" w:cs="Times New Roman"/>
        </w:rPr>
        <w:t>The completion of Tom Hanson House has provided nine new affordable flats.  The management of the housing has been given to the Community Gateway Association via a lease agreement and all nine flats are fully occupied. The remaining extra care scheme McKenzie arms sites has moved forward with contractors and professional teams appointed to support design and scheme development. Master plan options and a cost plan have been developed around the preferred scheme for Extra Care and Cabinet are considering approval of the scheme. A report on the scheme and costing for the McKenzie Arms Development will be considered by Council in quarter two.</w:t>
      </w:r>
    </w:p>
    <w:p w14:paraId="608B5D78" w14:textId="77777777" w:rsidR="00D338A7" w:rsidRPr="003249A9" w:rsidRDefault="00AC69EF" w:rsidP="00D338A7">
      <w:pPr>
        <w:spacing w:after="0" w:line="240" w:lineRule="auto"/>
        <w:rPr>
          <w:rFonts w:ascii="Arial" w:eastAsia="Calibri" w:hAnsi="Arial" w:cs="Times New Roman"/>
          <w:color w:val="FF0000"/>
        </w:rPr>
      </w:pPr>
    </w:p>
    <w:p w14:paraId="608B5D79" w14:textId="77777777" w:rsidR="00D338A7" w:rsidRPr="003249A9" w:rsidRDefault="009B0817" w:rsidP="00D338A7">
      <w:pPr>
        <w:numPr>
          <w:ilvl w:val="0"/>
          <w:numId w:val="8"/>
        </w:numPr>
        <w:spacing w:after="0" w:line="240" w:lineRule="auto"/>
        <w:contextualSpacing/>
        <w:rPr>
          <w:rFonts w:cs="Arial"/>
          <w:iCs/>
        </w:rPr>
      </w:pPr>
      <w:r w:rsidRPr="003249A9">
        <w:rPr>
          <w:rFonts w:cs="Arial"/>
          <w:iCs/>
        </w:rPr>
        <w:t>Improvement to council owned leisure facilities continues with plans developed around the decarbonisation of each leisure site.  The decarbonisation plans will enable the council to submit grant applications to central government for funding which will in turn support the Council in meeting its commitments to the local environment and becoming carbon neutral as well as providing good quality leisure facilities. Improvements to those facilities will be focused in quarter two through opening of tenders for refurbishment of the Tennis Centre car park and Leisure Centre painting and cladding.</w:t>
      </w:r>
    </w:p>
    <w:p w14:paraId="608B5D7A" w14:textId="77777777" w:rsidR="00D338A7" w:rsidRPr="003249A9" w:rsidRDefault="00AC69EF" w:rsidP="00D338A7">
      <w:pPr>
        <w:spacing w:after="0" w:line="240" w:lineRule="auto"/>
        <w:rPr>
          <w:rFonts w:cs="Arial"/>
          <w:iCs/>
        </w:rPr>
      </w:pPr>
    </w:p>
    <w:p w14:paraId="608B5D7B"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Of the four projects within this priority, three are rated green and one is rated as amber.  </w:t>
      </w:r>
    </w:p>
    <w:tbl>
      <w:tblPr>
        <w:tblpPr w:leftFromText="180" w:rightFromText="180" w:vertAnchor="text" w:horzAnchor="margin" w:tblpY="259"/>
        <w:tblOverlap w:val="never"/>
        <w:tblW w:w="9905" w:type="dxa"/>
        <w:tblLook w:val="04A0" w:firstRow="1" w:lastRow="0" w:firstColumn="1" w:lastColumn="0" w:noHBand="0" w:noVBand="1"/>
      </w:tblPr>
      <w:tblGrid>
        <w:gridCol w:w="7839"/>
        <w:gridCol w:w="2066"/>
      </w:tblGrid>
      <w:tr w:rsidR="00511E98" w14:paraId="608B5D7E" w14:textId="77777777" w:rsidTr="00D338A7">
        <w:trPr>
          <w:trHeight w:val="231"/>
          <w:tblHeader/>
        </w:trPr>
        <w:tc>
          <w:tcPr>
            <w:tcW w:w="7839" w:type="dxa"/>
            <w:tcBorders>
              <w:top w:val="single" w:sz="4" w:space="0" w:color="auto"/>
              <w:left w:val="single" w:sz="4" w:space="0" w:color="auto"/>
              <w:right w:val="single" w:sz="4" w:space="0" w:color="auto"/>
            </w:tcBorders>
            <w:shd w:val="clear" w:color="auto" w:fill="BFBFBF"/>
            <w:vAlign w:val="center"/>
          </w:tcPr>
          <w:p w14:paraId="608B5D7C" w14:textId="77777777" w:rsidR="00D338A7" w:rsidRPr="003249A9" w:rsidRDefault="00AC69EF" w:rsidP="00D338A7">
            <w:pPr>
              <w:spacing w:after="0" w:line="240" w:lineRule="auto"/>
              <w:rPr>
                <w:rFonts w:ascii="Arial" w:eastAsia="Times New Roman" w:hAnsi="Arial" w:cs="Arial"/>
                <w:b/>
                <w:szCs w:val="20"/>
                <w:lang w:eastAsia="en-GB"/>
              </w:rPr>
            </w:pPr>
          </w:p>
        </w:tc>
        <w:tc>
          <w:tcPr>
            <w:tcW w:w="2066" w:type="dxa"/>
            <w:tcBorders>
              <w:top w:val="single" w:sz="4" w:space="0" w:color="auto"/>
              <w:left w:val="single" w:sz="4" w:space="0" w:color="auto"/>
              <w:right w:val="single" w:sz="4" w:space="0" w:color="auto"/>
            </w:tcBorders>
            <w:shd w:val="clear" w:color="auto" w:fill="BFBFBF"/>
            <w:vAlign w:val="center"/>
          </w:tcPr>
          <w:p w14:paraId="608B5D7D"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2021-22</w:t>
            </w:r>
          </w:p>
        </w:tc>
      </w:tr>
      <w:tr w:rsidR="00511E98" w14:paraId="608B5D82" w14:textId="77777777" w:rsidTr="00D338A7">
        <w:trPr>
          <w:trHeight w:val="231"/>
          <w:tblHeader/>
        </w:trPr>
        <w:tc>
          <w:tcPr>
            <w:tcW w:w="7839" w:type="dxa"/>
            <w:tcBorders>
              <w:left w:val="single" w:sz="4" w:space="0" w:color="auto"/>
              <w:bottom w:val="single" w:sz="4" w:space="0" w:color="auto"/>
              <w:right w:val="single" w:sz="4" w:space="0" w:color="auto"/>
            </w:tcBorders>
            <w:shd w:val="clear" w:color="auto" w:fill="BFBFBF"/>
            <w:vAlign w:val="center"/>
          </w:tcPr>
          <w:p w14:paraId="608B5D7F" w14:textId="77777777" w:rsidR="00D338A7" w:rsidRPr="003249A9" w:rsidRDefault="009B0817" w:rsidP="00D338A7">
            <w:pPr>
              <w:spacing w:after="0" w:line="240" w:lineRule="auto"/>
              <w:rPr>
                <w:rFonts w:ascii="Arial" w:eastAsia="Times New Roman" w:hAnsi="Arial" w:cs="Arial"/>
                <w:b/>
                <w:szCs w:val="20"/>
                <w:lang w:eastAsia="en-GB"/>
              </w:rPr>
            </w:pPr>
            <w:r w:rsidRPr="003249A9">
              <w:rPr>
                <w:rFonts w:ascii="Arial" w:eastAsia="Times New Roman" w:hAnsi="Arial" w:cs="Arial"/>
                <w:b/>
                <w:szCs w:val="20"/>
                <w:lang w:eastAsia="en-GB"/>
              </w:rPr>
              <w:t>Projects</w:t>
            </w:r>
          </w:p>
        </w:tc>
        <w:tc>
          <w:tcPr>
            <w:tcW w:w="2066" w:type="dxa"/>
            <w:tcBorders>
              <w:left w:val="single" w:sz="4" w:space="0" w:color="auto"/>
              <w:bottom w:val="single" w:sz="4" w:space="0" w:color="auto"/>
              <w:right w:val="single" w:sz="4" w:space="0" w:color="auto"/>
            </w:tcBorders>
            <w:shd w:val="clear" w:color="auto" w:fill="BFBFBF"/>
            <w:vAlign w:val="center"/>
          </w:tcPr>
          <w:p w14:paraId="608B5D80"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Quarter 1</w:t>
            </w:r>
          </w:p>
          <w:p w14:paraId="608B5D81" w14:textId="77777777" w:rsidR="00D338A7" w:rsidRPr="003249A9" w:rsidRDefault="009B0817" w:rsidP="00D338A7">
            <w:pPr>
              <w:spacing w:after="0" w:line="240" w:lineRule="auto"/>
              <w:jc w:val="center"/>
              <w:rPr>
                <w:rFonts w:ascii="Arial" w:eastAsia="Times New Roman" w:hAnsi="Arial" w:cs="Arial"/>
                <w:b/>
                <w:szCs w:val="20"/>
                <w:lang w:eastAsia="en-GB"/>
              </w:rPr>
            </w:pPr>
            <w:r w:rsidRPr="003249A9">
              <w:rPr>
                <w:rFonts w:ascii="Arial" w:eastAsia="Times New Roman" w:hAnsi="Arial" w:cs="Arial"/>
                <w:b/>
                <w:szCs w:val="20"/>
                <w:lang w:eastAsia="en-GB"/>
              </w:rPr>
              <w:t>(Jan – Mar)</w:t>
            </w:r>
          </w:p>
        </w:tc>
      </w:tr>
      <w:tr w:rsidR="00511E98" w14:paraId="608B5D85" w14:textId="77777777" w:rsidTr="00D338A7">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608B5D83" w14:textId="77777777" w:rsidR="00D338A7" w:rsidRPr="003249A9" w:rsidRDefault="009B0817"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Bring Worden Hall back into use</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14:paraId="608B5D84"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R="00511E98" w14:paraId="608B5D88" w14:textId="77777777" w:rsidTr="00D338A7">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608B5D86" w14:textId="77777777" w:rsidR="00D338A7" w:rsidRPr="003249A9" w:rsidRDefault="009B0817"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Deliver a project to support the green agenda</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14:paraId="608B5D87"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R="00511E98" w14:paraId="608B5D8B" w14:textId="77777777" w:rsidTr="00D338A7">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608B5D89" w14:textId="77777777" w:rsidR="00D338A7" w:rsidRPr="003249A9" w:rsidRDefault="009B0817"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Deliver a leisure improvement project</w:t>
            </w:r>
          </w:p>
        </w:tc>
        <w:tc>
          <w:tcPr>
            <w:tcW w:w="2066" w:type="dxa"/>
            <w:tcBorders>
              <w:top w:val="single" w:sz="4" w:space="0" w:color="auto"/>
              <w:left w:val="single" w:sz="4" w:space="0" w:color="auto"/>
              <w:bottom w:val="single" w:sz="4" w:space="0" w:color="auto"/>
              <w:right w:val="single" w:sz="4" w:space="0" w:color="auto"/>
            </w:tcBorders>
            <w:shd w:val="clear" w:color="auto" w:fill="92D050"/>
            <w:vAlign w:val="center"/>
          </w:tcPr>
          <w:p w14:paraId="608B5D8A"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GREEN</w:t>
            </w:r>
          </w:p>
        </w:tc>
      </w:tr>
      <w:tr w:rsidR="00511E98" w14:paraId="608B5D8E" w14:textId="77777777" w:rsidTr="00D338A7">
        <w:trPr>
          <w:trHeight w:val="495"/>
        </w:trPr>
        <w:tc>
          <w:tcPr>
            <w:tcW w:w="7839" w:type="dxa"/>
            <w:tcBorders>
              <w:top w:val="single" w:sz="4" w:space="0" w:color="auto"/>
              <w:left w:val="single" w:sz="4" w:space="0" w:color="auto"/>
              <w:bottom w:val="single" w:sz="4" w:space="0" w:color="auto"/>
              <w:right w:val="single" w:sz="4" w:space="0" w:color="auto"/>
            </w:tcBorders>
            <w:shd w:val="clear" w:color="auto" w:fill="auto"/>
            <w:vAlign w:val="center"/>
          </w:tcPr>
          <w:p w14:paraId="608B5D8C" w14:textId="77777777" w:rsidR="00D338A7" w:rsidRPr="003249A9" w:rsidRDefault="009B0817" w:rsidP="00D338A7">
            <w:pPr>
              <w:spacing w:after="0" w:line="240" w:lineRule="auto"/>
              <w:rPr>
                <w:rFonts w:ascii="Arial" w:eastAsia="Times New Roman" w:hAnsi="Arial" w:cs="Arial"/>
                <w:b/>
                <w:bCs/>
                <w:szCs w:val="20"/>
                <w:lang w:eastAsia="en-GB"/>
              </w:rPr>
            </w:pPr>
            <w:r w:rsidRPr="003249A9">
              <w:rPr>
                <w:rFonts w:ascii="Arial" w:eastAsia="Times New Roman" w:hAnsi="Arial" w:cs="Arial"/>
                <w:b/>
                <w:bCs/>
                <w:szCs w:val="20"/>
                <w:lang w:eastAsia="en-GB"/>
              </w:rPr>
              <w:t>Commence building of affordable homes within the borough</w:t>
            </w:r>
          </w:p>
        </w:tc>
        <w:tc>
          <w:tcPr>
            <w:tcW w:w="2066" w:type="dxa"/>
            <w:tcBorders>
              <w:top w:val="single" w:sz="4" w:space="0" w:color="auto"/>
              <w:left w:val="single" w:sz="4" w:space="0" w:color="auto"/>
              <w:bottom w:val="single" w:sz="4" w:space="0" w:color="auto"/>
              <w:right w:val="single" w:sz="4" w:space="0" w:color="auto"/>
            </w:tcBorders>
            <w:shd w:val="clear" w:color="auto" w:fill="FFC000"/>
            <w:vAlign w:val="center"/>
          </w:tcPr>
          <w:p w14:paraId="608B5D8D" w14:textId="77777777" w:rsidR="00D338A7" w:rsidRPr="003249A9" w:rsidRDefault="009B0817" w:rsidP="00D338A7">
            <w:pPr>
              <w:spacing w:after="0" w:line="240" w:lineRule="auto"/>
              <w:jc w:val="center"/>
              <w:rPr>
                <w:rFonts w:ascii="Arial" w:eastAsia="Times New Roman" w:hAnsi="Arial" w:cs="Arial"/>
                <w:b/>
                <w:bCs/>
                <w:noProof/>
                <w:color w:val="FFFFFF" w:themeColor="background1"/>
                <w:szCs w:val="20"/>
                <w:lang w:eastAsia="en-GB"/>
              </w:rPr>
            </w:pPr>
            <w:r w:rsidRPr="003249A9">
              <w:rPr>
                <w:rFonts w:ascii="Arial" w:eastAsia="Times New Roman" w:hAnsi="Arial" w:cs="Arial"/>
                <w:b/>
                <w:bCs/>
                <w:noProof/>
                <w:color w:val="FFFFFF" w:themeColor="background1"/>
                <w:szCs w:val="20"/>
                <w:lang w:eastAsia="en-GB"/>
              </w:rPr>
              <w:t>AMBER</w:t>
            </w:r>
          </w:p>
        </w:tc>
      </w:tr>
    </w:tbl>
    <w:p w14:paraId="608B5D8F" w14:textId="77777777" w:rsidR="00D338A7" w:rsidRPr="003249A9" w:rsidRDefault="00AC69EF" w:rsidP="00D338A7">
      <w:pPr>
        <w:spacing w:after="0" w:line="240" w:lineRule="auto"/>
        <w:contextualSpacing/>
        <w:rPr>
          <w:rFonts w:ascii="Arial" w:eastAsia="Calibri" w:hAnsi="Arial" w:cs="Arial"/>
        </w:rPr>
      </w:pPr>
    </w:p>
    <w:p w14:paraId="608B5D90" w14:textId="77777777" w:rsidR="00D338A7" w:rsidRPr="003249A9" w:rsidRDefault="00AC69EF" w:rsidP="00D338A7">
      <w:pPr>
        <w:spacing w:after="0" w:line="240" w:lineRule="auto"/>
        <w:contextualSpacing/>
        <w:rPr>
          <w:rFonts w:ascii="Arial" w:eastAsia="Calibri" w:hAnsi="Arial" w:cs="Arial"/>
        </w:rPr>
      </w:pPr>
    </w:p>
    <w:tbl>
      <w:tblPr>
        <w:tblW w:w="99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6175"/>
        <w:gridCol w:w="2056"/>
      </w:tblGrid>
      <w:tr w:rsidR="00511E98" w14:paraId="608B5D94" w14:textId="77777777" w:rsidTr="00D338A7">
        <w:trPr>
          <w:trHeight w:val="1267"/>
        </w:trPr>
        <w:tc>
          <w:tcPr>
            <w:tcW w:w="7878" w:type="dxa"/>
            <w:gridSpan w:val="2"/>
            <w:shd w:val="clear" w:color="auto" w:fill="auto"/>
            <w:vAlign w:val="center"/>
          </w:tcPr>
          <w:p w14:paraId="608B5D91" w14:textId="77777777" w:rsidR="00D338A7" w:rsidRPr="003249A9" w:rsidRDefault="009B0817" w:rsidP="00D338A7">
            <w:pPr>
              <w:widowControl w:val="0"/>
              <w:rPr>
                <w:rFonts w:eastAsia="Calibri"/>
                <w:b/>
              </w:rPr>
            </w:pPr>
            <w:r w:rsidRPr="003249A9">
              <w:rPr>
                <w:rFonts w:ascii="Arial" w:eastAsia="Times New Roman" w:hAnsi="Arial" w:cs="Arial"/>
                <w:b/>
                <w:bCs/>
                <w:szCs w:val="20"/>
                <w:lang w:eastAsia="en-GB"/>
              </w:rPr>
              <w:t>Commence building of affordable homes within the borough</w:t>
            </w:r>
            <w:r w:rsidRPr="003249A9">
              <w:rPr>
                <w:rFonts w:eastAsia="Calibri"/>
                <w:b/>
              </w:rPr>
              <w:t>:</w:t>
            </w:r>
          </w:p>
          <w:p w14:paraId="608B5D92" w14:textId="77777777" w:rsidR="00D338A7" w:rsidRPr="003249A9" w:rsidRDefault="009B0817" w:rsidP="00D338A7">
            <w:pPr>
              <w:widowControl w:val="0"/>
              <w:rPr>
                <w:bCs/>
              </w:rPr>
            </w:pPr>
            <w:r w:rsidRPr="003249A9">
              <w:rPr>
                <w:iCs/>
              </w:rPr>
              <w:t>This project will bring forward and deliver a number of schemes to address the gap in the current housing market to provide quality affordable homes.</w:t>
            </w:r>
          </w:p>
        </w:tc>
        <w:tc>
          <w:tcPr>
            <w:tcW w:w="2056" w:type="dxa"/>
            <w:shd w:val="clear" w:color="auto" w:fill="FFC000"/>
            <w:vAlign w:val="center"/>
          </w:tcPr>
          <w:p w14:paraId="608B5D93" w14:textId="77777777" w:rsidR="00D338A7" w:rsidRPr="003249A9" w:rsidRDefault="009B0817" w:rsidP="00D338A7">
            <w:pPr>
              <w:widowControl w:val="0"/>
              <w:spacing w:after="0" w:line="259" w:lineRule="auto"/>
              <w:contextualSpacing/>
              <w:jc w:val="center"/>
              <w:outlineLvl w:val="0"/>
              <w:rPr>
                <w:b/>
                <w:color w:val="FFC000"/>
              </w:rPr>
            </w:pPr>
            <w:r w:rsidRPr="003249A9">
              <w:rPr>
                <w:b/>
                <w:bCs/>
                <w:color w:val="FFFFFF" w:themeColor="background1"/>
                <w:sz w:val="24"/>
                <w:szCs w:val="24"/>
              </w:rPr>
              <w:t>AMBER</w:t>
            </w:r>
          </w:p>
        </w:tc>
      </w:tr>
      <w:tr w:rsidR="00511E98" w14:paraId="608B5D97" w14:textId="77777777" w:rsidTr="00D338A7">
        <w:trPr>
          <w:cantSplit/>
          <w:trHeight w:val="1085"/>
        </w:trPr>
        <w:tc>
          <w:tcPr>
            <w:tcW w:w="1703" w:type="dxa"/>
            <w:shd w:val="clear" w:color="auto" w:fill="auto"/>
          </w:tcPr>
          <w:p w14:paraId="608B5D95" w14:textId="77777777" w:rsidR="00D338A7" w:rsidRPr="003249A9" w:rsidRDefault="009B0817" w:rsidP="00D338A7">
            <w:pPr>
              <w:widowControl w:val="0"/>
              <w:rPr>
                <w:b/>
                <w:bCs/>
                <w:color w:val="FF0000"/>
              </w:rPr>
            </w:pPr>
            <w:r w:rsidRPr="003249A9">
              <w:rPr>
                <w:b/>
                <w:bCs/>
              </w:rPr>
              <w:t>Issue:</w:t>
            </w:r>
          </w:p>
        </w:tc>
        <w:tc>
          <w:tcPr>
            <w:tcW w:w="8231" w:type="dxa"/>
            <w:gridSpan w:val="2"/>
            <w:shd w:val="clear" w:color="auto" w:fill="auto"/>
          </w:tcPr>
          <w:p w14:paraId="608B5D96" w14:textId="77777777" w:rsidR="00D338A7" w:rsidRPr="003249A9" w:rsidRDefault="009B0817" w:rsidP="00D338A7">
            <w:pPr>
              <w:widowControl w:val="0"/>
              <w:spacing w:after="0" w:line="240" w:lineRule="auto"/>
              <w:rPr>
                <w:iCs/>
              </w:rPr>
            </w:pPr>
            <w:r w:rsidRPr="003249A9">
              <w:rPr>
                <w:iCs/>
              </w:rPr>
              <w:t>As a large capital project, there is a risk to the budget and financial stability of schemes linked to supply chains and labour. There are dual impacts caused by Brexit and Covid-19 placing pressure on supply chains and labour which in turn has the potential to significantly increase costs.</w:t>
            </w:r>
          </w:p>
        </w:tc>
      </w:tr>
      <w:tr w:rsidR="00511E98" w14:paraId="608B5D9A" w14:textId="77777777" w:rsidTr="00D338A7">
        <w:trPr>
          <w:cantSplit/>
          <w:trHeight w:val="1399"/>
        </w:trPr>
        <w:tc>
          <w:tcPr>
            <w:tcW w:w="1703" w:type="dxa"/>
            <w:shd w:val="clear" w:color="auto" w:fill="auto"/>
          </w:tcPr>
          <w:p w14:paraId="608B5D98" w14:textId="77777777" w:rsidR="00D338A7" w:rsidRPr="003249A9" w:rsidRDefault="009B0817" w:rsidP="00D338A7">
            <w:pPr>
              <w:widowControl w:val="0"/>
            </w:pPr>
            <w:r w:rsidRPr="003249A9">
              <w:rPr>
                <w:b/>
                <w:bCs/>
              </w:rPr>
              <w:t xml:space="preserve">Actions Plan -What will be done: </w:t>
            </w:r>
          </w:p>
        </w:tc>
        <w:tc>
          <w:tcPr>
            <w:tcW w:w="8231" w:type="dxa"/>
            <w:gridSpan w:val="2"/>
            <w:shd w:val="clear" w:color="auto" w:fill="auto"/>
          </w:tcPr>
          <w:p w14:paraId="608B5D99" w14:textId="77777777" w:rsidR="00D338A7" w:rsidRPr="003249A9" w:rsidRDefault="009B0817" w:rsidP="00D338A7">
            <w:pPr>
              <w:widowControl w:val="0"/>
              <w:spacing w:after="0" w:line="240" w:lineRule="auto"/>
              <w:rPr>
                <w:rFonts w:eastAsia="Calibri" w:cs="Arial"/>
                <w:bCs/>
              </w:rPr>
            </w:pPr>
            <w:r w:rsidRPr="003249A9">
              <w:rPr>
                <w:iCs/>
              </w:rPr>
              <w:t>These economic pressures are largely outside of the council’s control and will need to be factored into the project design and costing. The stage one tender process is being undertaken for the McKenzie Arms site, where project costs will be fully assessed and may require the project to be redesigned or scaled accordingly.</w:t>
            </w:r>
          </w:p>
        </w:tc>
      </w:tr>
    </w:tbl>
    <w:p w14:paraId="608B5D9B" w14:textId="77777777" w:rsidR="00D338A7" w:rsidRPr="003249A9" w:rsidRDefault="009B0817" w:rsidP="00D338A7">
      <w:pPr>
        <w:spacing w:before="100" w:beforeAutospacing="1" w:after="100" w:afterAutospacing="1" w:line="240" w:lineRule="auto"/>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t>Key Performance Indicators</w:t>
      </w:r>
    </w:p>
    <w:p w14:paraId="608B5D9C"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Of the seven performance measures reported under this outcome, two performance measures are due to be reported at the end of this quarter. One is rated green and one is rated red. A full list of the performance indicators is included in Appendix 1.</w:t>
      </w:r>
    </w:p>
    <w:p w14:paraId="608B5D9D" w14:textId="77777777" w:rsidR="00D338A7" w:rsidRPr="003249A9" w:rsidRDefault="00AC69EF" w:rsidP="00D338A7">
      <w:pPr>
        <w:spacing w:after="0" w:line="240" w:lineRule="auto"/>
        <w:ind w:left="360"/>
        <w:contextualSpacing/>
        <w:rPr>
          <w:rFonts w:ascii="Arial" w:eastAsia="Calibri" w:hAnsi="Arial" w:cs="Times New Roman"/>
        </w:rPr>
      </w:pPr>
    </w:p>
    <w:p w14:paraId="608B5D9E" w14:textId="77777777" w:rsidR="00D338A7" w:rsidRPr="003249A9" w:rsidRDefault="009B0817" w:rsidP="00D338A7">
      <w:pPr>
        <w:spacing w:after="0" w:line="240" w:lineRule="auto"/>
        <w:ind w:left="360"/>
        <w:contextualSpacing/>
        <w:rPr>
          <w:rFonts w:ascii="Arial" w:eastAsia="Calibri" w:hAnsi="Arial" w:cs="Times New Roman"/>
        </w:rPr>
      </w:pPr>
      <w:r w:rsidRPr="003249A9">
        <w:rPr>
          <w:rFonts w:ascii="Arial" w:eastAsia="Calibri" w:hAnsi="Arial" w:cs="Times New Roman"/>
        </w:rPr>
        <w:t>The green rated measures are as below:</w:t>
      </w:r>
    </w:p>
    <w:p w14:paraId="608B5D9F" w14:textId="77777777" w:rsidR="00D338A7" w:rsidRPr="003249A9" w:rsidRDefault="00AC69EF" w:rsidP="00D338A7">
      <w:pPr>
        <w:spacing w:after="0" w:line="240" w:lineRule="auto"/>
        <w:ind w:left="720"/>
        <w:contextualSpacing/>
        <w:rPr>
          <w:rFonts w:ascii="Arial" w:eastAsia="Calibri" w:hAnsi="Arial" w:cs="Times New Roman"/>
        </w:rPr>
      </w:pPr>
    </w:p>
    <w:p w14:paraId="608B5DA0"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27,500 Trees will be planted in the borough this year (Cumulative)</w:t>
      </w:r>
    </w:p>
    <w:p w14:paraId="608B5DA1" w14:textId="77777777" w:rsidR="00D338A7" w:rsidRPr="003249A9" w:rsidRDefault="00AC69EF" w:rsidP="00D338A7">
      <w:pPr>
        <w:spacing w:after="0" w:line="240" w:lineRule="auto"/>
        <w:rPr>
          <w:rFonts w:ascii="Arial" w:eastAsia="Calibri" w:hAnsi="Arial" w:cs="Times New Roman"/>
        </w:rPr>
      </w:pPr>
    </w:p>
    <w:p w14:paraId="608B5DA2" w14:textId="77777777" w:rsidR="00D338A7" w:rsidRPr="003249A9" w:rsidRDefault="009B0817" w:rsidP="00D338A7">
      <w:pPr>
        <w:spacing w:after="0" w:line="240" w:lineRule="auto"/>
        <w:ind w:left="360"/>
        <w:contextualSpacing/>
        <w:rPr>
          <w:rFonts w:ascii="Arial" w:eastAsia="Calibri" w:hAnsi="Arial" w:cs="Times New Roman"/>
        </w:rPr>
      </w:pPr>
      <w:r w:rsidRPr="003249A9">
        <w:rPr>
          <w:rFonts w:ascii="Arial" w:eastAsia="Calibri" w:hAnsi="Arial" w:cs="Times New Roman"/>
        </w:rPr>
        <w:t>The red rated measure is as below:</w:t>
      </w:r>
    </w:p>
    <w:p w14:paraId="608B5DA3" w14:textId="77777777" w:rsidR="00D338A7" w:rsidRPr="003249A9" w:rsidRDefault="00AC69EF" w:rsidP="00D338A7">
      <w:pPr>
        <w:spacing w:after="0" w:line="240" w:lineRule="auto"/>
        <w:rPr>
          <w:rFonts w:ascii="Arial" w:eastAsia="Calibri" w:hAnsi="Arial" w:cs="Times New Roman"/>
        </w:rPr>
      </w:pPr>
    </w:p>
    <w:p w14:paraId="608B5DA4"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The number of people who are prevented from becoming homeless is increased</w:t>
      </w:r>
    </w:p>
    <w:p w14:paraId="608B5DA5" w14:textId="77777777" w:rsidR="00D338A7" w:rsidRPr="003249A9" w:rsidRDefault="00AC69EF" w:rsidP="00D338A7">
      <w:pPr>
        <w:spacing w:after="0" w:line="240" w:lineRule="auto"/>
        <w:contextualSpacing/>
        <w:rPr>
          <w:rFonts w:ascii="Arial" w:eastAsia="Calibri" w:hAnsi="Arial" w:cs="Arial"/>
        </w:rPr>
      </w:pP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511E98" w14:paraId="608B5DAD" w14:textId="77777777" w:rsidTr="00D338A7">
        <w:trPr>
          <w:trHeight w:val="254"/>
        </w:trPr>
        <w:tc>
          <w:tcPr>
            <w:tcW w:w="3233" w:type="dxa"/>
            <w:shd w:val="clear" w:color="auto" w:fill="BFBFBF"/>
            <w:vAlign w:val="center"/>
          </w:tcPr>
          <w:p w14:paraId="608B5DA6" w14:textId="77777777" w:rsidR="00D338A7" w:rsidRPr="003249A9" w:rsidRDefault="009B0817" w:rsidP="00D338A7">
            <w:pPr>
              <w:widowControl w:val="0"/>
              <w:spacing w:after="160" w:line="259" w:lineRule="auto"/>
              <w:contextualSpacing/>
              <w:outlineLvl w:val="0"/>
              <w:rPr>
                <w:b/>
                <w:bCs/>
              </w:rPr>
            </w:pPr>
            <w:r w:rsidRPr="003249A9">
              <w:rPr>
                <w:b/>
                <w:bCs/>
              </w:rPr>
              <w:t>Key Performance Indicator</w:t>
            </w:r>
          </w:p>
        </w:tc>
        <w:tc>
          <w:tcPr>
            <w:tcW w:w="1161" w:type="dxa"/>
            <w:shd w:val="clear" w:color="auto" w:fill="BFBFBF"/>
            <w:vAlign w:val="center"/>
          </w:tcPr>
          <w:p w14:paraId="608B5DA7" w14:textId="77777777" w:rsidR="00D338A7" w:rsidRPr="003249A9" w:rsidRDefault="009B0817" w:rsidP="00D338A7">
            <w:pPr>
              <w:widowControl w:val="0"/>
              <w:spacing w:after="0" w:line="257" w:lineRule="auto"/>
              <w:jc w:val="center"/>
              <w:outlineLvl w:val="0"/>
              <w:rPr>
                <w:b/>
                <w:bCs/>
              </w:rPr>
            </w:pPr>
            <w:r w:rsidRPr="003249A9">
              <w:rPr>
                <w:b/>
                <w:bCs/>
              </w:rPr>
              <w:t>Target</w:t>
            </w:r>
          </w:p>
        </w:tc>
        <w:tc>
          <w:tcPr>
            <w:tcW w:w="1560" w:type="dxa"/>
            <w:shd w:val="clear" w:color="auto" w:fill="BFBFBF"/>
            <w:vAlign w:val="center"/>
          </w:tcPr>
          <w:p w14:paraId="608B5DA8" w14:textId="77777777" w:rsidR="00D338A7" w:rsidRPr="003249A9" w:rsidRDefault="009B0817" w:rsidP="00D338A7">
            <w:pPr>
              <w:widowControl w:val="0"/>
              <w:spacing w:after="0" w:line="257" w:lineRule="auto"/>
              <w:jc w:val="center"/>
              <w:outlineLvl w:val="0"/>
              <w:rPr>
                <w:b/>
                <w:bCs/>
              </w:rPr>
            </w:pPr>
            <w:r w:rsidRPr="003249A9">
              <w:rPr>
                <w:b/>
                <w:bCs/>
              </w:rPr>
              <w:t>Comparable Period</w:t>
            </w:r>
          </w:p>
        </w:tc>
        <w:tc>
          <w:tcPr>
            <w:tcW w:w="1275" w:type="dxa"/>
            <w:shd w:val="clear" w:color="auto" w:fill="BFBFBF"/>
            <w:vAlign w:val="center"/>
          </w:tcPr>
          <w:p w14:paraId="608B5DA9" w14:textId="77777777" w:rsidR="00D338A7" w:rsidRPr="003249A9" w:rsidRDefault="009B0817" w:rsidP="00D338A7">
            <w:pPr>
              <w:widowControl w:val="0"/>
              <w:spacing w:after="0"/>
              <w:jc w:val="center"/>
              <w:outlineLvl w:val="0"/>
              <w:rPr>
                <w:rFonts w:eastAsia="Calibri" w:cs="Times New Roman"/>
                <w:b/>
                <w:bCs/>
              </w:rPr>
            </w:pPr>
            <w:r w:rsidRPr="003249A9">
              <w:rPr>
                <w:rFonts w:eastAsia="Calibri" w:cs="Times New Roman"/>
                <w:b/>
                <w:bCs/>
              </w:rPr>
              <w:t>Quarter 1</w:t>
            </w:r>
          </w:p>
          <w:p w14:paraId="608B5DAA" w14:textId="77777777" w:rsidR="00D338A7" w:rsidRPr="003249A9" w:rsidRDefault="009B0817" w:rsidP="00D338A7">
            <w:pPr>
              <w:widowControl w:val="0"/>
              <w:spacing w:after="0" w:line="257" w:lineRule="auto"/>
              <w:jc w:val="center"/>
              <w:outlineLvl w:val="0"/>
              <w:rPr>
                <w:b/>
                <w:bCs/>
              </w:rPr>
            </w:pPr>
            <w:r w:rsidRPr="003249A9">
              <w:rPr>
                <w:rFonts w:eastAsia="Calibri" w:cs="Times New Roman"/>
                <w:b/>
                <w:bCs/>
              </w:rPr>
              <w:t>2021/22</w:t>
            </w:r>
          </w:p>
        </w:tc>
        <w:tc>
          <w:tcPr>
            <w:tcW w:w="1276" w:type="dxa"/>
            <w:shd w:val="clear" w:color="auto" w:fill="BFBFBF"/>
            <w:vAlign w:val="center"/>
          </w:tcPr>
          <w:p w14:paraId="608B5DAB" w14:textId="77777777" w:rsidR="00D338A7" w:rsidRPr="003249A9" w:rsidRDefault="009B0817" w:rsidP="00D338A7">
            <w:pPr>
              <w:widowControl w:val="0"/>
              <w:spacing w:after="0" w:line="257" w:lineRule="auto"/>
              <w:jc w:val="center"/>
              <w:outlineLvl w:val="0"/>
              <w:rPr>
                <w:b/>
                <w:bCs/>
              </w:rPr>
            </w:pPr>
            <w:r w:rsidRPr="003249A9">
              <w:rPr>
                <w:b/>
                <w:bCs/>
              </w:rPr>
              <w:t xml:space="preserve">Symbol </w:t>
            </w:r>
          </w:p>
        </w:tc>
        <w:tc>
          <w:tcPr>
            <w:tcW w:w="1278" w:type="dxa"/>
            <w:shd w:val="clear" w:color="auto" w:fill="BFBFBF"/>
            <w:vAlign w:val="center"/>
          </w:tcPr>
          <w:p w14:paraId="608B5DAC" w14:textId="77777777" w:rsidR="00D338A7" w:rsidRPr="003249A9" w:rsidRDefault="009B0817" w:rsidP="00D338A7">
            <w:pPr>
              <w:widowControl w:val="0"/>
              <w:spacing w:after="0" w:line="257" w:lineRule="auto"/>
              <w:jc w:val="center"/>
              <w:outlineLvl w:val="0"/>
              <w:rPr>
                <w:b/>
                <w:bCs/>
              </w:rPr>
            </w:pPr>
            <w:r w:rsidRPr="003249A9">
              <w:rPr>
                <w:b/>
                <w:bCs/>
              </w:rPr>
              <w:t>Trend</w:t>
            </w:r>
          </w:p>
        </w:tc>
      </w:tr>
      <w:tr w:rsidR="00511E98" w14:paraId="608B5DB5" w14:textId="77777777" w:rsidTr="00D338A7">
        <w:trPr>
          <w:trHeight w:val="834"/>
        </w:trPr>
        <w:tc>
          <w:tcPr>
            <w:tcW w:w="3233" w:type="dxa"/>
            <w:shd w:val="clear" w:color="auto" w:fill="auto"/>
            <w:vAlign w:val="center"/>
          </w:tcPr>
          <w:p w14:paraId="608B5DAE" w14:textId="77777777" w:rsidR="00D338A7" w:rsidRPr="003249A9" w:rsidRDefault="009B0817" w:rsidP="00D338A7">
            <w:pPr>
              <w:spacing w:after="0" w:line="240" w:lineRule="auto"/>
            </w:pPr>
            <w:r w:rsidRPr="003249A9">
              <w:rPr>
                <w:rFonts w:eastAsia="Calibri" w:cs="Times New Roman"/>
              </w:rPr>
              <w:t>The number of people who are prevented from becoming homeless is increased</w:t>
            </w:r>
          </w:p>
        </w:tc>
        <w:tc>
          <w:tcPr>
            <w:tcW w:w="1161" w:type="dxa"/>
            <w:shd w:val="clear" w:color="auto" w:fill="auto"/>
            <w:vAlign w:val="center"/>
          </w:tcPr>
          <w:p w14:paraId="608B5DAF" w14:textId="77777777" w:rsidR="00D338A7" w:rsidRPr="003249A9" w:rsidRDefault="009B0817" w:rsidP="00D338A7">
            <w:pPr>
              <w:widowControl w:val="0"/>
              <w:spacing w:line="256" w:lineRule="auto"/>
              <w:contextualSpacing/>
              <w:jc w:val="center"/>
              <w:outlineLvl w:val="0"/>
            </w:pPr>
            <w:r w:rsidRPr="003249A9">
              <w:rPr>
                <w:rFonts w:eastAsia="Calibri" w:cs="Times New Roman"/>
              </w:rPr>
              <w:t>Target to improve trend</w:t>
            </w:r>
          </w:p>
        </w:tc>
        <w:tc>
          <w:tcPr>
            <w:tcW w:w="1560" w:type="dxa"/>
            <w:shd w:val="clear" w:color="auto" w:fill="auto"/>
            <w:vAlign w:val="center"/>
          </w:tcPr>
          <w:p w14:paraId="608B5DB0"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95</w:t>
            </w:r>
          </w:p>
          <w:p w14:paraId="608B5DB1" w14:textId="77777777" w:rsidR="00D338A7" w:rsidRPr="003249A9" w:rsidRDefault="009B0817" w:rsidP="00D338A7">
            <w:pPr>
              <w:widowControl w:val="0"/>
              <w:spacing w:after="0" w:line="240" w:lineRule="auto"/>
              <w:contextualSpacing/>
              <w:jc w:val="center"/>
              <w:outlineLvl w:val="0"/>
            </w:pPr>
            <w:r w:rsidRPr="003249A9">
              <w:rPr>
                <w:rFonts w:eastAsia="Calibri" w:cs="Times New Roman"/>
                <w:sz w:val="20"/>
                <w:szCs w:val="20"/>
              </w:rPr>
              <w:t>(Q1: 2020/21)</w:t>
            </w:r>
          </w:p>
        </w:tc>
        <w:tc>
          <w:tcPr>
            <w:tcW w:w="1275" w:type="dxa"/>
            <w:shd w:val="clear" w:color="auto" w:fill="auto"/>
            <w:vAlign w:val="center"/>
          </w:tcPr>
          <w:p w14:paraId="608B5DB2" w14:textId="77777777" w:rsidR="00D338A7" w:rsidRPr="003249A9" w:rsidRDefault="009B0817" w:rsidP="00D338A7">
            <w:pPr>
              <w:widowControl w:val="0"/>
              <w:spacing w:after="0" w:line="259" w:lineRule="auto"/>
              <w:contextualSpacing/>
              <w:jc w:val="center"/>
              <w:outlineLvl w:val="0"/>
              <w:rPr>
                <w:b/>
                <w:bCs/>
              </w:rPr>
            </w:pPr>
            <w:r w:rsidRPr="003249A9">
              <w:rPr>
                <w:rFonts w:eastAsia="Calibri" w:cs="Times New Roman"/>
                <w:b/>
                <w:bCs/>
              </w:rPr>
              <w:t>8</w:t>
            </w:r>
            <w:r>
              <w:rPr>
                <w:rFonts w:eastAsia="Calibri" w:cs="Times New Roman"/>
                <w:b/>
                <w:bCs/>
              </w:rPr>
              <w:t>6</w:t>
            </w:r>
          </w:p>
        </w:tc>
        <w:tc>
          <w:tcPr>
            <w:tcW w:w="1276" w:type="dxa"/>
            <w:tcBorders>
              <w:top w:val="single" w:sz="8" w:space="0" w:color="auto"/>
              <w:left w:val="single" w:sz="8" w:space="0" w:color="auto"/>
              <w:bottom w:val="single" w:sz="8" w:space="0" w:color="auto"/>
              <w:right w:val="single" w:sz="8" w:space="0" w:color="auto"/>
            </w:tcBorders>
            <w:vAlign w:val="center"/>
          </w:tcPr>
          <w:p w14:paraId="608B5DB3" w14:textId="77777777" w:rsidR="00D338A7" w:rsidRPr="003249A9" w:rsidRDefault="009B0817" w:rsidP="00D338A7">
            <w:pPr>
              <w:widowControl w:val="0"/>
              <w:spacing w:after="0" w:line="259" w:lineRule="auto"/>
              <w:contextualSpacing/>
              <w:jc w:val="center"/>
              <w:outlineLvl w:val="0"/>
            </w:pPr>
            <w:r w:rsidRPr="003249A9">
              <w:rPr>
                <w:rFonts w:ascii="Wingdings 3" w:eastAsia="Arial" w:hAnsi="Wingdings 3" w:cs="Times New Roman"/>
                <w:color w:val="FF0000"/>
                <w:sz w:val="32"/>
              </w:rPr>
              <w:sym w:font="Wingdings 3" w:char="F070"/>
            </w:r>
          </w:p>
        </w:tc>
        <w:tc>
          <w:tcPr>
            <w:tcW w:w="1278" w:type="dxa"/>
            <w:tcBorders>
              <w:top w:val="single" w:sz="8" w:space="0" w:color="auto"/>
              <w:left w:val="single" w:sz="8" w:space="0" w:color="auto"/>
              <w:bottom w:val="single" w:sz="8" w:space="0" w:color="auto"/>
              <w:right w:val="single" w:sz="8" w:space="0" w:color="auto"/>
            </w:tcBorders>
            <w:vAlign w:val="center"/>
          </w:tcPr>
          <w:p w14:paraId="608B5DB4" w14:textId="77777777" w:rsidR="00D338A7" w:rsidRPr="003249A9" w:rsidRDefault="009B0817" w:rsidP="00D338A7">
            <w:pPr>
              <w:widowControl w:val="0"/>
              <w:spacing w:after="0" w:line="259" w:lineRule="auto"/>
              <w:contextualSpacing/>
              <w:jc w:val="center"/>
              <w:outlineLvl w:val="0"/>
            </w:pPr>
            <w:r w:rsidRPr="003249A9">
              <w:rPr>
                <w:rFonts w:eastAsia="Calibri" w:cs="Times New Roman"/>
                <w:color w:val="FF0000"/>
                <w:sz w:val="20"/>
                <w:szCs w:val="20"/>
              </w:rPr>
              <w:t>Worse than Q1 2020/21</w:t>
            </w:r>
          </w:p>
        </w:tc>
      </w:tr>
      <w:tr w:rsidR="00511E98" w14:paraId="608B5DBB" w14:textId="77777777" w:rsidTr="00D338A7">
        <w:trPr>
          <w:trHeight w:val="132"/>
        </w:trPr>
        <w:tc>
          <w:tcPr>
            <w:tcW w:w="3233" w:type="dxa"/>
            <w:shd w:val="clear" w:color="auto" w:fill="auto"/>
          </w:tcPr>
          <w:p w14:paraId="608B5DB6" w14:textId="77777777" w:rsidR="00D338A7" w:rsidRPr="003249A9" w:rsidRDefault="009B0817" w:rsidP="00D338A7">
            <w:pPr>
              <w:widowControl w:val="0"/>
              <w:spacing w:after="160" w:line="259" w:lineRule="auto"/>
              <w:contextualSpacing/>
              <w:outlineLvl w:val="0"/>
              <w:rPr>
                <w:b/>
                <w:bCs/>
              </w:rPr>
            </w:pPr>
            <w:r w:rsidRPr="003249A9">
              <w:rPr>
                <w:rFonts w:ascii="Arial" w:eastAsia="Calibri" w:hAnsi="Arial" w:cs="Times New Roman"/>
                <w:b/>
                <w:bCs/>
              </w:rPr>
              <w:t>Commentary:</w:t>
            </w:r>
          </w:p>
        </w:tc>
        <w:tc>
          <w:tcPr>
            <w:tcW w:w="6550" w:type="dxa"/>
            <w:gridSpan w:val="5"/>
            <w:tcBorders>
              <w:top w:val="single" w:sz="4" w:space="0" w:color="auto"/>
              <w:left w:val="single" w:sz="4" w:space="0" w:color="auto"/>
              <w:bottom w:val="single" w:sz="4" w:space="0" w:color="auto"/>
              <w:right w:val="single" w:sz="4" w:space="0" w:color="auto"/>
            </w:tcBorders>
            <w:vAlign w:val="center"/>
          </w:tcPr>
          <w:p w14:paraId="608B5DB7" w14:textId="77777777" w:rsidR="00D338A7" w:rsidRPr="003249A9" w:rsidRDefault="009B0817" w:rsidP="00D338A7">
            <w:pPr>
              <w:widowControl w:val="0"/>
              <w:spacing w:after="160" w:line="259" w:lineRule="auto"/>
              <w:contextualSpacing/>
              <w:outlineLvl w:val="0"/>
              <w:rPr>
                <w:rFonts w:eastAsia="Calibri"/>
              </w:rPr>
            </w:pPr>
            <w:r w:rsidRPr="003249A9">
              <w:rPr>
                <w:rFonts w:eastAsia="Calibri"/>
              </w:rPr>
              <w:t xml:space="preserve">There has been a decreased number of homeless preventions this quarter compared to the same time last year. </w:t>
            </w:r>
            <w:r w:rsidRPr="003249A9">
              <w:t xml:space="preserve">The service has seen an increase in </w:t>
            </w:r>
            <w:r>
              <w:t>complex</w:t>
            </w:r>
            <w:r w:rsidRPr="003249A9">
              <w:t xml:space="preserve"> cases, where those presenting have multiple needs.  </w:t>
            </w:r>
          </w:p>
          <w:p w14:paraId="608B5DB8" w14:textId="77777777" w:rsidR="00D338A7" w:rsidRPr="003249A9" w:rsidRDefault="00AC69EF" w:rsidP="00D338A7">
            <w:pPr>
              <w:widowControl w:val="0"/>
              <w:spacing w:after="160" w:line="259" w:lineRule="auto"/>
              <w:contextualSpacing/>
              <w:outlineLvl w:val="0"/>
            </w:pPr>
          </w:p>
          <w:p w14:paraId="608B5DB9" w14:textId="77777777" w:rsidR="00D338A7" w:rsidRPr="00F66F00" w:rsidRDefault="009B0817" w:rsidP="00D338A7">
            <w:pPr>
              <w:widowControl w:val="0"/>
              <w:spacing w:after="160" w:line="259" w:lineRule="auto"/>
              <w:contextualSpacing/>
              <w:outlineLvl w:val="0"/>
              <w:rPr>
                <w:rFonts w:eastAsia="Calibri"/>
              </w:rPr>
            </w:pPr>
            <w:r>
              <w:t>Those with complex needs require more intensive support in order to achieve positive outcomes in terms of prevention. Funding has been secured for a 12 month</w:t>
            </w:r>
            <w:r w:rsidRPr="00F66F00">
              <w:t xml:space="preserve"> </w:t>
            </w:r>
            <w:r>
              <w:t>‘</w:t>
            </w:r>
            <w:r w:rsidRPr="00F66F00">
              <w:t>Prevention of Rough Sleeping Co-Ordinator</w:t>
            </w:r>
            <w:r>
              <w:t>’</w:t>
            </w:r>
            <w:r w:rsidRPr="00F66F00">
              <w:t xml:space="preserve"> to work with those individuals with the most complex needs.  This role will work alongside the Housing Options Team and other agencies to prevent homelessness occurring, or where this is not possible to identify solutions and support to assist individuals into sustainable housing.  </w:t>
            </w:r>
          </w:p>
          <w:p w14:paraId="608B5DBA" w14:textId="77777777" w:rsidR="00D338A7" w:rsidRPr="003249A9" w:rsidRDefault="00AC69EF" w:rsidP="00D338A7">
            <w:pPr>
              <w:widowControl w:val="0"/>
              <w:spacing w:after="160" w:line="259" w:lineRule="auto"/>
              <w:contextualSpacing/>
              <w:outlineLvl w:val="0"/>
            </w:pPr>
          </w:p>
        </w:tc>
      </w:tr>
    </w:tbl>
    <w:p w14:paraId="608B5DBC" w14:textId="77777777" w:rsidR="00D338A7" w:rsidRPr="003249A9" w:rsidRDefault="00AC69EF" w:rsidP="00D338A7">
      <w:pPr>
        <w:spacing w:after="0" w:line="240" w:lineRule="auto"/>
        <w:contextualSpacing/>
        <w:rPr>
          <w:rFonts w:ascii="Arial" w:eastAsia="Calibri" w:hAnsi="Arial" w:cs="Arial"/>
        </w:rPr>
      </w:pPr>
    </w:p>
    <w:p w14:paraId="608B5DBD" w14:textId="77777777" w:rsidR="00D338A7" w:rsidRDefault="00AC69EF" w:rsidP="00D338A7">
      <w:pPr>
        <w:spacing w:before="100" w:beforeAutospacing="1" w:after="100" w:afterAutospacing="1" w:line="240" w:lineRule="auto"/>
        <w:outlineLvl w:val="1"/>
        <w:rPr>
          <w:rFonts w:asciiTheme="majorHAnsi" w:eastAsia="Times New Roman" w:hAnsiTheme="majorHAnsi" w:cstheme="majorHAnsi"/>
          <w:b/>
          <w:bCs/>
          <w:lang w:eastAsia="en-GB"/>
        </w:rPr>
      </w:pPr>
    </w:p>
    <w:p w14:paraId="608B5DBE" w14:textId="77777777" w:rsidR="00D338A7" w:rsidRPr="003249A9" w:rsidRDefault="009B0817" w:rsidP="00D338A7">
      <w:pPr>
        <w:spacing w:before="100" w:beforeAutospacing="1" w:after="100" w:afterAutospacing="1" w:line="240" w:lineRule="auto"/>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lastRenderedPageBreak/>
        <w:t xml:space="preserve">Key Organisational performance measures </w:t>
      </w:r>
    </w:p>
    <w:p w14:paraId="608B5DBF"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At the end of quarter one, there are 12 key organisational performance measures due to be reported. A full list of the performance indicators is included in Appendix 2. </w:t>
      </w:r>
    </w:p>
    <w:p w14:paraId="608B5DC0" w14:textId="77777777" w:rsidR="00D338A7" w:rsidRPr="003249A9" w:rsidRDefault="00AC69EF" w:rsidP="00D338A7">
      <w:pPr>
        <w:spacing w:after="0" w:line="240" w:lineRule="auto"/>
        <w:ind w:left="360"/>
        <w:contextualSpacing/>
        <w:rPr>
          <w:rFonts w:ascii="Arial" w:eastAsia="Calibri" w:hAnsi="Arial" w:cs="Times New Roman"/>
        </w:rPr>
      </w:pPr>
    </w:p>
    <w:p w14:paraId="608B5DC1"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Of the 12 key organisational performance measures, eight are rated as green: </w:t>
      </w:r>
    </w:p>
    <w:p w14:paraId="608B5DC2" w14:textId="77777777" w:rsidR="00D338A7" w:rsidRPr="003249A9" w:rsidRDefault="00AC69EF" w:rsidP="00D338A7">
      <w:pPr>
        <w:spacing w:after="160" w:line="259" w:lineRule="auto"/>
        <w:ind w:left="720"/>
        <w:contextualSpacing/>
        <w:rPr>
          <w:rFonts w:ascii="Arial" w:eastAsia="Calibri" w:hAnsi="Arial" w:cs="Times New Roman"/>
        </w:rPr>
      </w:pPr>
    </w:p>
    <w:p w14:paraId="608B5DC3"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planning applications decided within 8 weeks (minor / other applications)</w:t>
      </w:r>
    </w:p>
    <w:p w14:paraId="608B5DC4"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of telephone calls answered within 90 seconds</w:t>
      </w:r>
    </w:p>
    <w:p w14:paraId="608B5DC5"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of calls abandoned before being answered in a quarter</w:t>
      </w:r>
    </w:p>
    <w:p w14:paraId="608B5DC6"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Average days to process a new Housing Benefit claim</w:t>
      </w:r>
    </w:p>
    <w:p w14:paraId="608B5DC7"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No. of accidents reported to Health Safety Executive for work related activity (RIDDOR)</w:t>
      </w:r>
    </w:p>
    <w:p w14:paraId="608B5DC8"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 xml:space="preserve">Number of near miss incidents reported to Health and Safety  </w:t>
      </w:r>
    </w:p>
    <w:p w14:paraId="608B5DC9"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The average number of working days from Disabled Facilities grant referral received from LCC to application approved</w:t>
      </w:r>
    </w:p>
    <w:p w14:paraId="608B5DCA" w14:textId="77777777" w:rsidR="00D338A7" w:rsidRPr="003249A9" w:rsidRDefault="00AC69EF" w:rsidP="00D338A7">
      <w:pPr>
        <w:spacing w:after="0" w:line="240" w:lineRule="auto"/>
        <w:rPr>
          <w:rFonts w:ascii="Arial" w:eastAsia="Calibri" w:hAnsi="Arial" w:cs="Times New Roman"/>
        </w:rPr>
      </w:pPr>
    </w:p>
    <w:p w14:paraId="608B5DCB" w14:textId="77777777" w:rsidR="00D338A7" w:rsidRPr="003249A9" w:rsidRDefault="009B0817" w:rsidP="00D338A7">
      <w:pPr>
        <w:numPr>
          <w:ilvl w:val="0"/>
          <w:numId w:val="8"/>
        </w:numPr>
        <w:spacing w:after="0" w:line="240" w:lineRule="auto"/>
        <w:contextualSpacing/>
        <w:rPr>
          <w:rFonts w:ascii="Arial" w:eastAsia="Calibri" w:hAnsi="Arial" w:cs="Times New Roman"/>
        </w:rPr>
      </w:pPr>
      <w:r w:rsidRPr="003249A9">
        <w:rPr>
          <w:rFonts w:ascii="Arial" w:eastAsia="Calibri" w:hAnsi="Arial" w:cs="Times New Roman"/>
        </w:rPr>
        <w:t xml:space="preserve">Three organisational performance measures are performing below target but within threshold: </w:t>
      </w:r>
    </w:p>
    <w:p w14:paraId="608B5DCC" w14:textId="77777777" w:rsidR="00D338A7" w:rsidRPr="003249A9" w:rsidRDefault="00AC69EF" w:rsidP="00D338A7">
      <w:pPr>
        <w:spacing w:after="0" w:line="240" w:lineRule="auto"/>
        <w:ind w:left="360"/>
        <w:contextualSpacing/>
        <w:rPr>
          <w:rFonts w:ascii="Arial" w:eastAsia="Calibri" w:hAnsi="Arial" w:cs="Times New Roman"/>
        </w:rPr>
      </w:pPr>
    </w:p>
    <w:p w14:paraId="608B5DCD"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Percentage of Council Tax collected (Cumulative YTD)</w:t>
      </w:r>
    </w:p>
    <w:p w14:paraId="608B5DCE" w14:textId="77777777" w:rsidR="00D338A7" w:rsidRPr="003249A9" w:rsidRDefault="009B0817" w:rsidP="00D338A7">
      <w:pPr>
        <w:numPr>
          <w:ilvl w:val="0"/>
          <w:numId w:val="12"/>
        </w:numPr>
        <w:spacing w:after="0" w:line="240" w:lineRule="auto"/>
        <w:rPr>
          <w:rFonts w:ascii="Arial" w:eastAsia="Calibri" w:hAnsi="Arial" w:cs="Times New Roman"/>
        </w:rPr>
      </w:pPr>
      <w:r w:rsidRPr="003249A9">
        <w:rPr>
          <w:rFonts w:ascii="Arial" w:eastAsia="Calibri" w:hAnsi="Arial" w:cs="Times New Roman"/>
        </w:rPr>
        <w:t>Percentage of Business Rates (Cumulative YTD)</w:t>
      </w:r>
    </w:p>
    <w:p w14:paraId="608B5DCF" w14:textId="77777777" w:rsidR="00D338A7" w:rsidRPr="003249A9" w:rsidRDefault="009B0817" w:rsidP="00D338A7">
      <w:pPr>
        <w:numPr>
          <w:ilvl w:val="0"/>
          <w:numId w:val="12"/>
        </w:numPr>
        <w:spacing w:after="0" w:line="240" w:lineRule="auto"/>
        <w:rPr>
          <w:rFonts w:ascii="Arial" w:eastAsia="Calibri" w:hAnsi="Arial" w:cs="Times New Roman"/>
        </w:rPr>
      </w:pPr>
      <w:r w:rsidRPr="003249A9">
        <w:rPr>
          <w:rFonts w:eastAsia="Calibri" w:cs="Times New Roman"/>
        </w:rPr>
        <w:t xml:space="preserve">Number of households in temporary accommodation at the end of the quarter  </w:t>
      </w:r>
    </w:p>
    <w:p w14:paraId="608B5DD0" w14:textId="77777777" w:rsidR="00D338A7" w:rsidRPr="003249A9" w:rsidRDefault="00AC69EF" w:rsidP="00D338A7">
      <w:pPr>
        <w:spacing w:after="0" w:line="240" w:lineRule="auto"/>
        <w:ind w:left="360"/>
        <w:contextualSpacing/>
        <w:rPr>
          <w:rFonts w:ascii="Arial" w:eastAsia="Calibri" w:hAnsi="Arial" w:cs="Times New Roman"/>
        </w:rPr>
      </w:pPr>
    </w:p>
    <w:p w14:paraId="608B5DD1" w14:textId="77777777" w:rsidR="00D338A7" w:rsidRPr="003249A9" w:rsidRDefault="009B0817" w:rsidP="00D338A7">
      <w:pPr>
        <w:numPr>
          <w:ilvl w:val="0"/>
          <w:numId w:val="8"/>
        </w:numPr>
        <w:spacing w:after="160" w:line="259" w:lineRule="auto"/>
        <w:contextualSpacing/>
        <w:rPr>
          <w:rFonts w:ascii="Arial" w:eastAsia="Times New Roman" w:hAnsi="Arial" w:cs="Arial"/>
          <w:lang w:eastAsia="en-GB"/>
        </w:rPr>
      </w:pPr>
      <w:r w:rsidRPr="003249A9">
        <w:rPr>
          <w:rFonts w:ascii="Arial" w:eastAsia="Times New Roman" w:hAnsi="Arial" w:cs="Arial"/>
          <w:lang w:eastAsia="en-GB"/>
        </w:rPr>
        <w:t xml:space="preserve">Of the 12 key organisational performance measures, two are rated as red: </w:t>
      </w:r>
    </w:p>
    <w:p w14:paraId="608B5DD2" w14:textId="77777777" w:rsidR="00D338A7" w:rsidRPr="003249A9" w:rsidRDefault="00AC69EF" w:rsidP="00D338A7">
      <w:pPr>
        <w:tabs>
          <w:tab w:val="left" w:pos="567"/>
        </w:tabs>
        <w:spacing w:after="160" w:line="240" w:lineRule="auto"/>
        <w:ind w:left="360" w:right="-284"/>
        <w:contextualSpacing/>
        <w:rPr>
          <w:rFonts w:ascii="Arial" w:eastAsia="Times New Roman" w:hAnsi="Arial" w:cs="Arial"/>
          <w:lang w:eastAsia="en-GB"/>
        </w:rPr>
      </w:pPr>
    </w:p>
    <w:p w14:paraId="608B5DD3" w14:textId="77777777" w:rsidR="00D338A7" w:rsidRPr="003249A9" w:rsidRDefault="009B0817" w:rsidP="00D338A7">
      <w:pPr>
        <w:numPr>
          <w:ilvl w:val="0"/>
          <w:numId w:val="12"/>
        </w:numPr>
        <w:spacing w:after="0" w:line="240" w:lineRule="auto"/>
        <w:contextualSpacing/>
        <w:rPr>
          <w:rFonts w:ascii="Arial" w:eastAsia="Calibri" w:hAnsi="Arial" w:cs="Times New Roman"/>
        </w:rPr>
      </w:pPr>
      <w:r w:rsidRPr="003249A9">
        <w:rPr>
          <w:rFonts w:ascii="Arial" w:eastAsia="Calibri" w:hAnsi="Arial" w:cs="Times New Roman"/>
        </w:rPr>
        <w:t>Number of accidents reported to Health and Safety from work related activity</w:t>
      </w:r>
    </w:p>
    <w:p w14:paraId="608B5DD4" w14:textId="77777777" w:rsidR="00D338A7" w:rsidRPr="00520991" w:rsidRDefault="009B0817" w:rsidP="00D338A7">
      <w:pPr>
        <w:numPr>
          <w:ilvl w:val="0"/>
          <w:numId w:val="12"/>
        </w:numPr>
        <w:spacing w:after="0" w:line="240" w:lineRule="auto"/>
        <w:contextualSpacing/>
        <w:rPr>
          <w:rFonts w:ascii="Arial" w:eastAsia="Calibri" w:hAnsi="Arial" w:cs="Times New Roman"/>
        </w:rPr>
      </w:pPr>
      <w:r w:rsidRPr="003249A9">
        <w:rPr>
          <w:rFonts w:eastAsia="Calibri" w:cs="Times New Roman"/>
        </w:rPr>
        <w:t>% planning applications decided within 13 weeks (major applications)</w:t>
      </w:r>
    </w:p>
    <w:p w14:paraId="608B5DD5" w14:textId="77777777" w:rsidR="00D338A7" w:rsidRPr="003249A9" w:rsidRDefault="00AC69EF" w:rsidP="00D338A7">
      <w:pPr>
        <w:spacing w:after="0" w:line="240" w:lineRule="auto"/>
        <w:ind w:left="1440"/>
        <w:contextualSpacing/>
        <w:rPr>
          <w:rFonts w:ascii="Arial" w:eastAsia="Calibri" w:hAnsi="Arial" w:cs="Times New Roman"/>
        </w:rPr>
      </w:pPr>
    </w:p>
    <w:tbl>
      <w:tblPr>
        <w:tblpPr w:leftFromText="180" w:rightFromText="180" w:vertAnchor="text" w:horzAnchor="margin" w:tblpY="19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275"/>
        <w:gridCol w:w="1276"/>
        <w:gridCol w:w="1278"/>
      </w:tblGrid>
      <w:tr w:rsidR="00511E98" w14:paraId="608B5DDD" w14:textId="77777777" w:rsidTr="00D338A7">
        <w:trPr>
          <w:trHeight w:val="254"/>
        </w:trPr>
        <w:tc>
          <w:tcPr>
            <w:tcW w:w="3233" w:type="dxa"/>
            <w:shd w:val="clear" w:color="auto" w:fill="BFBFBF"/>
            <w:vAlign w:val="center"/>
          </w:tcPr>
          <w:p w14:paraId="608B5DD6" w14:textId="77777777" w:rsidR="00D338A7" w:rsidRPr="003249A9" w:rsidRDefault="009B0817" w:rsidP="00D338A7">
            <w:pPr>
              <w:widowControl w:val="0"/>
              <w:spacing w:after="160" w:line="259" w:lineRule="auto"/>
              <w:contextualSpacing/>
              <w:outlineLvl w:val="0"/>
              <w:rPr>
                <w:b/>
                <w:bCs/>
              </w:rPr>
            </w:pPr>
            <w:r w:rsidRPr="003249A9">
              <w:rPr>
                <w:b/>
                <w:bCs/>
              </w:rPr>
              <w:t>Key Performance Indicator</w:t>
            </w:r>
          </w:p>
        </w:tc>
        <w:tc>
          <w:tcPr>
            <w:tcW w:w="1161" w:type="dxa"/>
            <w:shd w:val="clear" w:color="auto" w:fill="BFBFBF"/>
            <w:vAlign w:val="center"/>
          </w:tcPr>
          <w:p w14:paraId="608B5DD7" w14:textId="77777777" w:rsidR="00D338A7" w:rsidRPr="003249A9" w:rsidRDefault="009B0817" w:rsidP="00D338A7">
            <w:pPr>
              <w:widowControl w:val="0"/>
              <w:spacing w:after="0" w:line="257" w:lineRule="auto"/>
              <w:jc w:val="center"/>
              <w:outlineLvl w:val="0"/>
              <w:rPr>
                <w:b/>
                <w:bCs/>
              </w:rPr>
            </w:pPr>
            <w:r w:rsidRPr="003249A9">
              <w:rPr>
                <w:b/>
                <w:bCs/>
              </w:rPr>
              <w:t>Target</w:t>
            </w:r>
          </w:p>
        </w:tc>
        <w:tc>
          <w:tcPr>
            <w:tcW w:w="1560" w:type="dxa"/>
            <w:shd w:val="clear" w:color="auto" w:fill="BFBFBF"/>
            <w:vAlign w:val="center"/>
          </w:tcPr>
          <w:p w14:paraId="608B5DD8" w14:textId="77777777" w:rsidR="00D338A7" w:rsidRPr="003249A9" w:rsidRDefault="009B0817" w:rsidP="00D338A7">
            <w:pPr>
              <w:widowControl w:val="0"/>
              <w:spacing w:after="0" w:line="257" w:lineRule="auto"/>
              <w:jc w:val="center"/>
              <w:outlineLvl w:val="0"/>
              <w:rPr>
                <w:b/>
                <w:bCs/>
              </w:rPr>
            </w:pPr>
            <w:r w:rsidRPr="003249A9">
              <w:rPr>
                <w:b/>
                <w:bCs/>
              </w:rPr>
              <w:t>Comparable Period</w:t>
            </w:r>
          </w:p>
        </w:tc>
        <w:tc>
          <w:tcPr>
            <w:tcW w:w="1275" w:type="dxa"/>
            <w:shd w:val="clear" w:color="auto" w:fill="BFBFBF"/>
            <w:vAlign w:val="center"/>
          </w:tcPr>
          <w:p w14:paraId="608B5DD9" w14:textId="77777777" w:rsidR="00D338A7" w:rsidRPr="003249A9" w:rsidRDefault="009B0817" w:rsidP="00D338A7">
            <w:pPr>
              <w:widowControl w:val="0"/>
              <w:spacing w:after="0"/>
              <w:jc w:val="center"/>
              <w:outlineLvl w:val="0"/>
              <w:rPr>
                <w:rFonts w:eastAsia="Calibri" w:cs="Times New Roman"/>
                <w:b/>
                <w:bCs/>
              </w:rPr>
            </w:pPr>
            <w:r w:rsidRPr="003249A9">
              <w:rPr>
                <w:rFonts w:eastAsia="Calibri" w:cs="Times New Roman"/>
                <w:b/>
                <w:bCs/>
              </w:rPr>
              <w:t>Quarter 1</w:t>
            </w:r>
          </w:p>
          <w:p w14:paraId="608B5DDA" w14:textId="77777777" w:rsidR="00D338A7" w:rsidRPr="003249A9" w:rsidRDefault="009B0817" w:rsidP="00D338A7">
            <w:pPr>
              <w:widowControl w:val="0"/>
              <w:spacing w:after="0" w:line="257" w:lineRule="auto"/>
              <w:jc w:val="center"/>
              <w:outlineLvl w:val="0"/>
              <w:rPr>
                <w:b/>
                <w:bCs/>
              </w:rPr>
            </w:pPr>
            <w:r w:rsidRPr="003249A9">
              <w:rPr>
                <w:rFonts w:eastAsia="Calibri" w:cs="Times New Roman"/>
                <w:b/>
                <w:bCs/>
              </w:rPr>
              <w:t>2021/22</w:t>
            </w:r>
          </w:p>
        </w:tc>
        <w:tc>
          <w:tcPr>
            <w:tcW w:w="1276" w:type="dxa"/>
            <w:shd w:val="clear" w:color="auto" w:fill="BFBFBF"/>
            <w:vAlign w:val="center"/>
          </w:tcPr>
          <w:p w14:paraId="608B5DDB" w14:textId="77777777" w:rsidR="00D338A7" w:rsidRPr="003249A9" w:rsidRDefault="009B0817" w:rsidP="00D338A7">
            <w:pPr>
              <w:widowControl w:val="0"/>
              <w:spacing w:after="0" w:line="257" w:lineRule="auto"/>
              <w:jc w:val="center"/>
              <w:outlineLvl w:val="0"/>
              <w:rPr>
                <w:b/>
                <w:bCs/>
              </w:rPr>
            </w:pPr>
            <w:r w:rsidRPr="003249A9">
              <w:rPr>
                <w:b/>
                <w:bCs/>
              </w:rPr>
              <w:t xml:space="preserve">Symbol </w:t>
            </w:r>
          </w:p>
        </w:tc>
        <w:tc>
          <w:tcPr>
            <w:tcW w:w="1278" w:type="dxa"/>
            <w:shd w:val="clear" w:color="auto" w:fill="BFBFBF"/>
            <w:vAlign w:val="center"/>
          </w:tcPr>
          <w:p w14:paraId="608B5DDC" w14:textId="77777777" w:rsidR="00D338A7" w:rsidRPr="003249A9" w:rsidRDefault="009B0817" w:rsidP="00D338A7">
            <w:pPr>
              <w:widowControl w:val="0"/>
              <w:spacing w:after="0" w:line="257" w:lineRule="auto"/>
              <w:jc w:val="center"/>
              <w:outlineLvl w:val="0"/>
              <w:rPr>
                <w:b/>
                <w:bCs/>
              </w:rPr>
            </w:pPr>
            <w:r w:rsidRPr="003249A9">
              <w:rPr>
                <w:b/>
                <w:bCs/>
              </w:rPr>
              <w:t>Trend</w:t>
            </w:r>
          </w:p>
        </w:tc>
      </w:tr>
      <w:tr w:rsidR="00511E98" w14:paraId="608B5DE5" w14:textId="77777777" w:rsidTr="00D338A7">
        <w:trPr>
          <w:trHeight w:val="834"/>
        </w:trPr>
        <w:tc>
          <w:tcPr>
            <w:tcW w:w="3233" w:type="dxa"/>
            <w:shd w:val="clear" w:color="auto" w:fill="auto"/>
            <w:vAlign w:val="center"/>
          </w:tcPr>
          <w:p w14:paraId="608B5DDE" w14:textId="77777777" w:rsidR="00D338A7" w:rsidRPr="003249A9" w:rsidRDefault="009B0817" w:rsidP="00D338A7">
            <w:pPr>
              <w:widowControl w:val="0"/>
              <w:spacing w:after="0" w:line="259" w:lineRule="auto"/>
              <w:contextualSpacing/>
              <w:outlineLvl w:val="0"/>
            </w:pPr>
            <w:r w:rsidRPr="003249A9">
              <w:t>Number of accidents reported to Health and Safety from work related activity</w:t>
            </w:r>
          </w:p>
        </w:tc>
        <w:tc>
          <w:tcPr>
            <w:tcW w:w="1161" w:type="dxa"/>
            <w:shd w:val="clear" w:color="auto" w:fill="auto"/>
            <w:vAlign w:val="center"/>
          </w:tcPr>
          <w:p w14:paraId="608B5DDF" w14:textId="77777777" w:rsidR="00D338A7" w:rsidRPr="003249A9" w:rsidRDefault="009B0817" w:rsidP="00D338A7">
            <w:pPr>
              <w:widowControl w:val="0"/>
              <w:spacing w:after="0" w:line="259" w:lineRule="auto"/>
              <w:contextualSpacing/>
              <w:jc w:val="center"/>
              <w:outlineLvl w:val="0"/>
              <w:rPr>
                <w:b/>
                <w:bCs/>
              </w:rPr>
            </w:pPr>
            <w:r w:rsidRPr="003249A9">
              <w:rPr>
                <w:rFonts w:eastAsia="Calibri" w:cs="Times New Roman"/>
              </w:rPr>
              <w:t>Target to improve trend</w:t>
            </w:r>
          </w:p>
        </w:tc>
        <w:tc>
          <w:tcPr>
            <w:tcW w:w="1560" w:type="dxa"/>
            <w:shd w:val="clear" w:color="auto" w:fill="auto"/>
            <w:vAlign w:val="center"/>
          </w:tcPr>
          <w:p w14:paraId="608B5DE0" w14:textId="77777777" w:rsidR="00D338A7" w:rsidRPr="003249A9" w:rsidRDefault="009B0817" w:rsidP="00D338A7">
            <w:pPr>
              <w:widowControl w:val="0"/>
              <w:spacing w:after="0" w:line="256" w:lineRule="auto"/>
              <w:contextualSpacing/>
              <w:jc w:val="center"/>
              <w:outlineLvl w:val="0"/>
              <w:rPr>
                <w:rFonts w:eastAsia="Calibri" w:cs="Times New Roman"/>
              </w:rPr>
            </w:pPr>
            <w:r w:rsidRPr="003249A9">
              <w:rPr>
                <w:rFonts w:eastAsia="Calibri" w:cs="Times New Roman"/>
              </w:rPr>
              <w:t>8</w:t>
            </w:r>
          </w:p>
          <w:p w14:paraId="608B5DE1" w14:textId="77777777" w:rsidR="00D338A7" w:rsidRPr="003249A9" w:rsidRDefault="009B0817" w:rsidP="00D338A7">
            <w:pPr>
              <w:widowControl w:val="0"/>
              <w:spacing w:after="0" w:line="257" w:lineRule="auto"/>
              <w:jc w:val="center"/>
              <w:outlineLvl w:val="0"/>
            </w:pPr>
            <w:r w:rsidRPr="003249A9">
              <w:rPr>
                <w:rFonts w:eastAsia="Calibri" w:cs="Times New Roman"/>
                <w:sz w:val="20"/>
                <w:szCs w:val="20"/>
              </w:rPr>
              <w:t>(Q4: 2020/21)</w:t>
            </w:r>
          </w:p>
        </w:tc>
        <w:tc>
          <w:tcPr>
            <w:tcW w:w="1275" w:type="dxa"/>
            <w:shd w:val="clear" w:color="auto" w:fill="auto"/>
            <w:vAlign w:val="center"/>
          </w:tcPr>
          <w:p w14:paraId="608B5DE2" w14:textId="77777777" w:rsidR="00D338A7" w:rsidRPr="003249A9" w:rsidRDefault="009B0817" w:rsidP="00D338A7">
            <w:pPr>
              <w:widowControl w:val="0"/>
              <w:spacing w:after="0" w:line="259" w:lineRule="auto"/>
              <w:contextualSpacing/>
              <w:jc w:val="center"/>
              <w:outlineLvl w:val="0"/>
              <w:rPr>
                <w:b/>
                <w:bCs/>
              </w:rPr>
            </w:pPr>
            <w:r w:rsidRPr="003249A9">
              <w:rPr>
                <w:rFonts w:eastAsia="Calibri" w:cs="Times New Roman"/>
                <w:b/>
                <w:bCs/>
              </w:rPr>
              <w:t>15</w:t>
            </w:r>
          </w:p>
        </w:tc>
        <w:tc>
          <w:tcPr>
            <w:tcW w:w="1276" w:type="dxa"/>
            <w:shd w:val="clear" w:color="auto" w:fill="auto"/>
            <w:vAlign w:val="center"/>
          </w:tcPr>
          <w:p w14:paraId="608B5DE3" w14:textId="77777777" w:rsidR="00D338A7" w:rsidRPr="003249A9" w:rsidRDefault="009B0817" w:rsidP="00D338A7">
            <w:pPr>
              <w:widowControl w:val="0"/>
              <w:spacing w:after="0" w:line="259" w:lineRule="auto"/>
              <w:contextualSpacing/>
              <w:jc w:val="center"/>
              <w:outlineLvl w:val="0"/>
              <w:rPr>
                <w:b/>
                <w:bCs/>
              </w:rPr>
            </w:pPr>
            <w:r w:rsidRPr="003249A9">
              <w:rPr>
                <w:rFonts w:ascii="Wingdings 3" w:eastAsia="Arial" w:hAnsi="Wingdings 3" w:cs="Times New Roman"/>
                <w:color w:val="FF0000"/>
                <w:sz w:val="32"/>
              </w:rPr>
              <w:sym w:font="Wingdings 3" w:char="F070"/>
            </w:r>
          </w:p>
        </w:tc>
        <w:tc>
          <w:tcPr>
            <w:tcW w:w="1278" w:type="dxa"/>
            <w:shd w:val="clear" w:color="auto" w:fill="auto"/>
            <w:vAlign w:val="center"/>
          </w:tcPr>
          <w:p w14:paraId="608B5DE4" w14:textId="77777777" w:rsidR="00D338A7" w:rsidRPr="003249A9" w:rsidRDefault="009B0817" w:rsidP="00D338A7">
            <w:pPr>
              <w:widowControl w:val="0"/>
              <w:spacing w:after="0" w:line="259" w:lineRule="auto"/>
              <w:contextualSpacing/>
              <w:jc w:val="center"/>
              <w:outlineLvl w:val="0"/>
              <w:rPr>
                <w:b/>
                <w:bCs/>
                <w:color w:val="FFC000"/>
              </w:rPr>
            </w:pPr>
            <w:r w:rsidRPr="003249A9">
              <w:rPr>
                <w:rFonts w:eastAsia="Calibri" w:cs="Times New Roman"/>
                <w:color w:val="FF0000"/>
                <w:sz w:val="20"/>
                <w:szCs w:val="20"/>
              </w:rPr>
              <w:t>Worse than Q4 2020/21</w:t>
            </w:r>
          </w:p>
        </w:tc>
      </w:tr>
      <w:tr w:rsidR="00511E98" w14:paraId="608B5DE8" w14:textId="77777777" w:rsidTr="00D338A7">
        <w:trPr>
          <w:trHeight w:val="690"/>
        </w:trPr>
        <w:tc>
          <w:tcPr>
            <w:tcW w:w="3233" w:type="dxa"/>
            <w:shd w:val="clear" w:color="auto" w:fill="auto"/>
          </w:tcPr>
          <w:p w14:paraId="608B5DE6" w14:textId="77777777" w:rsidR="00D338A7" w:rsidRPr="003249A9" w:rsidRDefault="009B0817" w:rsidP="00D338A7">
            <w:pPr>
              <w:widowControl w:val="0"/>
              <w:spacing w:after="160" w:line="259" w:lineRule="auto"/>
              <w:contextualSpacing/>
              <w:outlineLvl w:val="0"/>
              <w:rPr>
                <w:b/>
                <w:bCs/>
              </w:rPr>
            </w:pPr>
            <w:r w:rsidRPr="003249A9">
              <w:rPr>
                <w:b/>
                <w:bCs/>
              </w:rPr>
              <w:t>Commentary</w:t>
            </w:r>
          </w:p>
        </w:tc>
        <w:tc>
          <w:tcPr>
            <w:tcW w:w="6550" w:type="dxa"/>
            <w:gridSpan w:val="5"/>
            <w:shd w:val="clear" w:color="auto" w:fill="auto"/>
            <w:vAlign w:val="center"/>
          </w:tcPr>
          <w:p w14:paraId="608B5DE7" w14:textId="77777777" w:rsidR="00D338A7" w:rsidRPr="003249A9" w:rsidRDefault="009B0817" w:rsidP="00D338A7">
            <w:pPr>
              <w:widowControl w:val="0"/>
              <w:spacing w:after="160" w:line="259" w:lineRule="auto"/>
              <w:contextualSpacing/>
              <w:outlineLvl w:val="0"/>
            </w:pPr>
            <w:r w:rsidRPr="003249A9">
              <w:t>The increase in the number of accidents reported is likely a result of the easing of lockdown restrictions from the previous quarter to quarter one. This accompanied by the extremely good weather encouraging the public to take advantage of the eased restriction which will have a significant impact in the opportunity for accidents to arise.  Whilst the trend has increased from the previous period the figures are statistically low considering the numbers of people (staff and members of the public) covered.</w:t>
            </w:r>
          </w:p>
        </w:tc>
      </w:tr>
    </w:tbl>
    <w:p w14:paraId="608B5DE9" w14:textId="77777777" w:rsidR="00D338A7" w:rsidRPr="003249A9" w:rsidRDefault="00AC69EF" w:rsidP="00D338A7">
      <w:pPr>
        <w:tabs>
          <w:tab w:val="left" w:pos="567"/>
        </w:tabs>
        <w:spacing w:after="0" w:line="240" w:lineRule="auto"/>
        <w:ind w:right="-284"/>
        <w:rPr>
          <w:rFonts w:ascii="Arial" w:eastAsia="Times New Roman" w:hAnsi="Arial" w:cs="Arial"/>
          <w:lang w:eastAsia="en-GB"/>
        </w:rPr>
      </w:pPr>
    </w:p>
    <w:tbl>
      <w:tblPr>
        <w:tblpPr w:leftFromText="180" w:rightFromText="180" w:vertAnchor="text" w:horzAnchor="margin" w:tblpY="19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3"/>
        <w:gridCol w:w="1161"/>
        <w:gridCol w:w="1560"/>
        <w:gridCol w:w="1412"/>
        <w:gridCol w:w="1139"/>
        <w:gridCol w:w="1278"/>
      </w:tblGrid>
      <w:tr w:rsidR="00511E98" w14:paraId="608B5DF1" w14:textId="77777777" w:rsidTr="00D338A7">
        <w:trPr>
          <w:trHeight w:val="254"/>
        </w:trPr>
        <w:tc>
          <w:tcPr>
            <w:tcW w:w="3233" w:type="dxa"/>
            <w:shd w:val="clear" w:color="auto" w:fill="BFBFBF"/>
            <w:vAlign w:val="center"/>
          </w:tcPr>
          <w:p w14:paraId="608B5DEA" w14:textId="77777777" w:rsidR="00D338A7" w:rsidRPr="003249A9" w:rsidRDefault="009B0817" w:rsidP="00D338A7">
            <w:pPr>
              <w:widowControl w:val="0"/>
              <w:spacing w:after="160" w:line="259" w:lineRule="auto"/>
              <w:contextualSpacing/>
              <w:outlineLvl w:val="0"/>
              <w:rPr>
                <w:b/>
                <w:bCs/>
              </w:rPr>
            </w:pPr>
            <w:r w:rsidRPr="003249A9">
              <w:rPr>
                <w:b/>
                <w:bCs/>
              </w:rPr>
              <w:t>Key Performance Indicator</w:t>
            </w:r>
          </w:p>
        </w:tc>
        <w:tc>
          <w:tcPr>
            <w:tcW w:w="1161" w:type="dxa"/>
            <w:shd w:val="clear" w:color="auto" w:fill="BFBFBF"/>
            <w:vAlign w:val="center"/>
          </w:tcPr>
          <w:p w14:paraId="608B5DEB" w14:textId="77777777" w:rsidR="00D338A7" w:rsidRPr="003249A9" w:rsidRDefault="009B0817" w:rsidP="00D338A7">
            <w:pPr>
              <w:widowControl w:val="0"/>
              <w:spacing w:after="0" w:line="257" w:lineRule="auto"/>
              <w:jc w:val="center"/>
              <w:outlineLvl w:val="0"/>
              <w:rPr>
                <w:b/>
                <w:bCs/>
              </w:rPr>
            </w:pPr>
            <w:r w:rsidRPr="003249A9">
              <w:rPr>
                <w:b/>
                <w:bCs/>
              </w:rPr>
              <w:t>Target</w:t>
            </w:r>
          </w:p>
        </w:tc>
        <w:tc>
          <w:tcPr>
            <w:tcW w:w="1560" w:type="dxa"/>
            <w:shd w:val="clear" w:color="auto" w:fill="BFBFBF"/>
            <w:vAlign w:val="center"/>
          </w:tcPr>
          <w:p w14:paraId="608B5DEC" w14:textId="77777777" w:rsidR="00D338A7" w:rsidRPr="003249A9" w:rsidRDefault="009B0817" w:rsidP="00D338A7">
            <w:pPr>
              <w:widowControl w:val="0"/>
              <w:spacing w:after="0" w:line="257" w:lineRule="auto"/>
              <w:jc w:val="center"/>
              <w:outlineLvl w:val="0"/>
              <w:rPr>
                <w:b/>
                <w:bCs/>
              </w:rPr>
            </w:pPr>
            <w:r w:rsidRPr="003249A9">
              <w:rPr>
                <w:b/>
                <w:bCs/>
              </w:rPr>
              <w:t>Comparable Period</w:t>
            </w:r>
          </w:p>
        </w:tc>
        <w:tc>
          <w:tcPr>
            <w:tcW w:w="1412" w:type="dxa"/>
            <w:shd w:val="clear" w:color="auto" w:fill="BFBFBF"/>
            <w:vAlign w:val="center"/>
          </w:tcPr>
          <w:p w14:paraId="608B5DED" w14:textId="77777777" w:rsidR="00D338A7" w:rsidRPr="003249A9" w:rsidRDefault="009B0817" w:rsidP="00D338A7">
            <w:pPr>
              <w:widowControl w:val="0"/>
              <w:spacing w:after="0"/>
              <w:jc w:val="center"/>
              <w:outlineLvl w:val="0"/>
              <w:rPr>
                <w:rFonts w:eastAsia="Calibri" w:cs="Times New Roman"/>
                <w:b/>
                <w:bCs/>
              </w:rPr>
            </w:pPr>
            <w:r w:rsidRPr="003249A9">
              <w:rPr>
                <w:rFonts w:eastAsia="Calibri" w:cs="Times New Roman"/>
                <w:b/>
                <w:bCs/>
              </w:rPr>
              <w:t>Quarter 1</w:t>
            </w:r>
          </w:p>
          <w:p w14:paraId="608B5DEE" w14:textId="77777777" w:rsidR="00D338A7" w:rsidRPr="003249A9" w:rsidRDefault="009B0817" w:rsidP="00D338A7">
            <w:pPr>
              <w:widowControl w:val="0"/>
              <w:spacing w:after="0" w:line="257" w:lineRule="auto"/>
              <w:jc w:val="center"/>
              <w:outlineLvl w:val="0"/>
              <w:rPr>
                <w:b/>
                <w:bCs/>
              </w:rPr>
            </w:pPr>
            <w:r w:rsidRPr="003249A9">
              <w:rPr>
                <w:rFonts w:eastAsia="Calibri" w:cs="Times New Roman"/>
                <w:b/>
                <w:bCs/>
              </w:rPr>
              <w:t>2021/22</w:t>
            </w:r>
          </w:p>
        </w:tc>
        <w:tc>
          <w:tcPr>
            <w:tcW w:w="1139" w:type="dxa"/>
            <w:shd w:val="clear" w:color="auto" w:fill="BFBFBF"/>
            <w:vAlign w:val="center"/>
          </w:tcPr>
          <w:p w14:paraId="608B5DEF" w14:textId="77777777" w:rsidR="00D338A7" w:rsidRPr="003249A9" w:rsidRDefault="009B0817" w:rsidP="00D338A7">
            <w:pPr>
              <w:widowControl w:val="0"/>
              <w:spacing w:after="0" w:line="257" w:lineRule="auto"/>
              <w:jc w:val="center"/>
              <w:outlineLvl w:val="0"/>
              <w:rPr>
                <w:b/>
                <w:bCs/>
              </w:rPr>
            </w:pPr>
            <w:r w:rsidRPr="003249A9">
              <w:rPr>
                <w:b/>
                <w:bCs/>
              </w:rPr>
              <w:t xml:space="preserve">Symbol </w:t>
            </w:r>
          </w:p>
        </w:tc>
        <w:tc>
          <w:tcPr>
            <w:tcW w:w="1278" w:type="dxa"/>
            <w:shd w:val="clear" w:color="auto" w:fill="BFBFBF"/>
            <w:vAlign w:val="center"/>
          </w:tcPr>
          <w:p w14:paraId="608B5DF0" w14:textId="77777777" w:rsidR="00D338A7" w:rsidRPr="003249A9" w:rsidRDefault="009B0817" w:rsidP="00D338A7">
            <w:pPr>
              <w:widowControl w:val="0"/>
              <w:spacing w:after="0" w:line="257" w:lineRule="auto"/>
              <w:jc w:val="center"/>
              <w:outlineLvl w:val="0"/>
              <w:rPr>
                <w:b/>
                <w:bCs/>
              </w:rPr>
            </w:pPr>
            <w:r w:rsidRPr="003249A9">
              <w:rPr>
                <w:b/>
                <w:bCs/>
              </w:rPr>
              <w:t>Trend</w:t>
            </w:r>
          </w:p>
        </w:tc>
      </w:tr>
      <w:tr w:rsidR="00511E98" w14:paraId="608B5DF9" w14:textId="77777777" w:rsidTr="00D338A7">
        <w:trPr>
          <w:trHeight w:val="834"/>
        </w:trPr>
        <w:tc>
          <w:tcPr>
            <w:tcW w:w="3233" w:type="dxa"/>
            <w:shd w:val="clear" w:color="auto" w:fill="auto"/>
            <w:vAlign w:val="center"/>
          </w:tcPr>
          <w:p w14:paraId="608B5DF2" w14:textId="77777777" w:rsidR="00D338A7" w:rsidRPr="003249A9" w:rsidRDefault="009B0817" w:rsidP="00D338A7">
            <w:pPr>
              <w:widowControl w:val="0"/>
              <w:spacing w:after="0" w:line="259" w:lineRule="auto"/>
              <w:contextualSpacing/>
              <w:outlineLvl w:val="0"/>
            </w:pPr>
            <w:r w:rsidRPr="003249A9">
              <w:rPr>
                <w:rFonts w:eastAsia="Calibri" w:cs="Times New Roman"/>
              </w:rPr>
              <w:t>% planning applications decided within 13 weeks (major applications)</w:t>
            </w:r>
          </w:p>
        </w:tc>
        <w:tc>
          <w:tcPr>
            <w:tcW w:w="1161" w:type="dxa"/>
            <w:shd w:val="clear" w:color="auto" w:fill="auto"/>
            <w:vAlign w:val="center"/>
          </w:tcPr>
          <w:p w14:paraId="608B5DF3" w14:textId="77777777" w:rsidR="00D338A7" w:rsidRPr="003249A9" w:rsidRDefault="009B0817" w:rsidP="00D338A7">
            <w:pPr>
              <w:widowControl w:val="0"/>
              <w:spacing w:after="0" w:line="259" w:lineRule="auto"/>
              <w:contextualSpacing/>
              <w:jc w:val="center"/>
              <w:outlineLvl w:val="0"/>
              <w:rPr>
                <w:b/>
                <w:bCs/>
              </w:rPr>
            </w:pPr>
            <w:r w:rsidRPr="003249A9">
              <w:rPr>
                <w:rFonts w:eastAsia="Calibri" w:cs="Times New Roman"/>
              </w:rPr>
              <w:t>80%</w:t>
            </w:r>
          </w:p>
        </w:tc>
        <w:tc>
          <w:tcPr>
            <w:tcW w:w="1560" w:type="dxa"/>
            <w:shd w:val="clear" w:color="auto" w:fill="auto"/>
            <w:vAlign w:val="center"/>
          </w:tcPr>
          <w:p w14:paraId="608B5DF4" w14:textId="77777777" w:rsidR="00D338A7" w:rsidRPr="003249A9" w:rsidRDefault="009B0817" w:rsidP="00D338A7">
            <w:pPr>
              <w:widowControl w:val="0"/>
              <w:spacing w:after="0" w:line="256" w:lineRule="auto"/>
              <w:contextualSpacing/>
              <w:jc w:val="center"/>
              <w:outlineLvl w:val="0"/>
              <w:rPr>
                <w:rFonts w:eastAsia="Calibri" w:cs="Times New Roman"/>
              </w:rPr>
            </w:pPr>
            <w:r w:rsidRPr="003249A9">
              <w:rPr>
                <w:rFonts w:eastAsia="Calibri" w:cs="Times New Roman"/>
              </w:rPr>
              <w:t>100</w:t>
            </w:r>
          </w:p>
          <w:p w14:paraId="608B5DF5" w14:textId="77777777" w:rsidR="00D338A7" w:rsidRPr="003249A9" w:rsidRDefault="009B0817" w:rsidP="00D338A7">
            <w:pPr>
              <w:widowControl w:val="0"/>
              <w:spacing w:after="0" w:line="256" w:lineRule="auto"/>
              <w:contextualSpacing/>
              <w:jc w:val="center"/>
              <w:outlineLvl w:val="0"/>
              <w:rPr>
                <w:rFonts w:eastAsia="Calibri" w:cs="Times New Roman"/>
              </w:rPr>
            </w:pPr>
            <w:r w:rsidRPr="003249A9">
              <w:rPr>
                <w:rFonts w:eastAsia="Calibri" w:cs="Times New Roman"/>
                <w:sz w:val="20"/>
                <w:szCs w:val="20"/>
              </w:rPr>
              <w:t>(Q4:2020/21)</w:t>
            </w:r>
          </w:p>
        </w:tc>
        <w:tc>
          <w:tcPr>
            <w:tcW w:w="1412" w:type="dxa"/>
            <w:shd w:val="clear" w:color="auto" w:fill="auto"/>
            <w:vAlign w:val="center"/>
          </w:tcPr>
          <w:p w14:paraId="608B5DF6" w14:textId="77777777" w:rsidR="00D338A7" w:rsidRPr="003249A9" w:rsidRDefault="009B0817" w:rsidP="00D338A7">
            <w:pPr>
              <w:widowControl w:val="0"/>
              <w:spacing w:after="0" w:line="256" w:lineRule="auto"/>
              <w:contextualSpacing/>
              <w:jc w:val="center"/>
              <w:outlineLvl w:val="0"/>
              <w:rPr>
                <w:rFonts w:eastAsia="Calibri" w:cs="Times New Roman"/>
              </w:rPr>
            </w:pPr>
            <w:r w:rsidRPr="003249A9">
              <w:rPr>
                <w:rFonts w:eastAsia="Calibri" w:cs="Times New Roman"/>
                <w:b/>
                <w:bCs/>
              </w:rPr>
              <w:t>75%</w:t>
            </w:r>
          </w:p>
        </w:tc>
        <w:tc>
          <w:tcPr>
            <w:tcW w:w="1139" w:type="dxa"/>
            <w:shd w:val="clear" w:color="auto" w:fill="auto"/>
            <w:vAlign w:val="center"/>
          </w:tcPr>
          <w:p w14:paraId="608B5DF7" w14:textId="77777777" w:rsidR="00D338A7" w:rsidRPr="003249A9" w:rsidRDefault="009B0817" w:rsidP="00D338A7">
            <w:pPr>
              <w:widowControl w:val="0"/>
              <w:spacing w:after="0" w:line="259" w:lineRule="auto"/>
              <w:contextualSpacing/>
              <w:jc w:val="center"/>
              <w:outlineLvl w:val="0"/>
              <w:rPr>
                <w:b/>
                <w:bCs/>
              </w:rPr>
            </w:pPr>
            <w:r w:rsidRPr="003249A9">
              <w:rPr>
                <w:rFonts w:ascii="Wingdings 3" w:eastAsia="Arial" w:hAnsi="Wingdings 3" w:cs="Times New Roman"/>
                <w:color w:val="FF0000"/>
                <w:sz w:val="32"/>
              </w:rPr>
              <w:sym w:font="Wingdings 3" w:char="F070"/>
            </w:r>
          </w:p>
        </w:tc>
        <w:tc>
          <w:tcPr>
            <w:tcW w:w="1278" w:type="dxa"/>
            <w:shd w:val="clear" w:color="auto" w:fill="auto"/>
            <w:vAlign w:val="center"/>
          </w:tcPr>
          <w:p w14:paraId="608B5DF8" w14:textId="77777777" w:rsidR="00D338A7" w:rsidRPr="003249A9" w:rsidRDefault="009B0817" w:rsidP="00D338A7">
            <w:pPr>
              <w:widowControl w:val="0"/>
              <w:spacing w:after="0" w:line="259" w:lineRule="auto"/>
              <w:contextualSpacing/>
              <w:jc w:val="center"/>
              <w:outlineLvl w:val="0"/>
              <w:rPr>
                <w:b/>
                <w:bCs/>
                <w:color w:val="FFC000"/>
              </w:rPr>
            </w:pPr>
            <w:r w:rsidRPr="003249A9">
              <w:rPr>
                <w:rFonts w:eastAsia="Calibri" w:cs="Times New Roman"/>
                <w:color w:val="FF0000"/>
                <w:sz w:val="20"/>
                <w:szCs w:val="20"/>
              </w:rPr>
              <w:t>Worse than Q4 2020/21</w:t>
            </w:r>
          </w:p>
        </w:tc>
      </w:tr>
      <w:tr w:rsidR="00511E98" w14:paraId="608B5DFD" w14:textId="77777777" w:rsidTr="00D338A7">
        <w:trPr>
          <w:trHeight w:val="690"/>
        </w:trPr>
        <w:tc>
          <w:tcPr>
            <w:tcW w:w="3233" w:type="dxa"/>
            <w:shd w:val="clear" w:color="auto" w:fill="auto"/>
          </w:tcPr>
          <w:p w14:paraId="608B5DFA" w14:textId="77777777" w:rsidR="00D338A7" w:rsidRPr="003249A9" w:rsidRDefault="009B0817" w:rsidP="00D338A7">
            <w:pPr>
              <w:widowControl w:val="0"/>
              <w:spacing w:after="160" w:line="259" w:lineRule="auto"/>
              <w:contextualSpacing/>
              <w:outlineLvl w:val="0"/>
              <w:rPr>
                <w:b/>
                <w:bCs/>
              </w:rPr>
            </w:pPr>
            <w:r w:rsidRPr="003249A9">
              <w:rPr>
                <w:b/>
                <w:bCs/>
              </w:rPr>
              <w:t>Commentary</w:t>
            </w:r>
          </w:p>
        </w:tc>
        <w:tc>
          <w:tcPr>
            <w:tcW w:w="6550" w:type="dxa"/>
            <w:gridSpan w:val="5"/>
            <w:shd w:val="clear" w:color="auto" w:fill="auto"/>
            <w:vAlign w:val="center"/>
          </w:tcPr>
          <w:p w14:paraId="608B5DFB" w14:textId="77777777" w:rsidR="00D338A7" w:rsidRPr="003249A9" w:rsidRDefault="009B0817" w:rsidP="00D338A7">
            <w:pPr>
              <w:widowControl w:val="0"/>
              <w:spacing w:after="160" w:line="259" w:lineRule="auto"/>
              <w:contextualSpacing/>
              <w:outlineLvl w:val="0"/>
            </w:pPr>
            <w:r w:rsidRPr="003249A9">
              <w:t xml:space="preserve">The percentage of major planning applications decided within 13 weeks has performed lower than target this period.  There are a small number of applications in this category, therefore one or two applications being off target can impact significantly on the percentage.  These could be affected by delays to signing a </w:t>
            </w:r>
            <w:r w:rsidRPr="003249A9">
              <w:lastRenderedPageBreak/>
              <w:t>Section 106 legal agreement associated with an application or a deferral of a decision by the Planning Committee.</w:t>
            </w:r>
          </w:p>
          <w:p w14:paraId="608B5DFC" w14:textId="77777777" w:rsidR="00D338A7" w:rsidRPr="003249A9" w:rsidRDefault="009B0817" w:rsidP="00D338A7">
            <w:pPr>
              <w:widowControl w:val="0"/>
              <w:spacing w:after="160" w:line="259" w:lineRule="auto"/>
              <w:contextualSpacing/>
              <w:outlineLvl w:val="0"/>
            </w:pPr>
            <w:r w:rsidRPr="003249A9">
              <w:t>There has been a significant increase in the overall number of planning applications over the last 12 months. The Council has recruited a consultant for an initial four-month period to focus and support on the processing of major applications.</w:t>
            </w:r>
          </w:p>
        </w:tc>
      </w:tr>
    </w:tbl>
    <w:p w14:paraId="608B5DFE" w14:textId="77777777" w:rsidR="00D338A7" w:rsidRPr="003249A9" w:rsidRDefault="00AC69EF" w:rsidP="00D338A7">
      <w:pPr>
        <w:spacing w:after="0" w:line="240" w:lineRule="auto"/>
        <w:contextualSpacing/>
        <w:rPr>
          <w:rFonts w:ascii="Arial" w:eastAsia="Calibri" w:hAnsi="Arial" w:cs="Arial"/>
        </w:rPr>
      </w:pPr>
    </w:p>
    <w:p w14:paraId="608B5DFF" w14:textId="77777777" w:rsidR="00D338A7" w:rsidRDefault="009B0817" w:rsidP="00D338A7">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608B5E00" w14:textId="77777777" w:rsidR="00D338A7" w:rsidRPr="004758E2" w:rsidRDefault="00AC69EF" w:rsidP="00D338A7">
      <w:pPr>
        <w:tabs>
          <w:tab w:val="left" w:pos="567"/>
        </w:tabs>
        <w:spacing w:after="0" w:line="240" w:lineRule="auto"/>
        <w:ind w:right="-284"/>
        <w:rPr>
          <w:rFonts w:ascii="Arial" w:eastAsia="Times New Roman" w:hAnsi="Arial" w:cs="Arial"/>
          <w:lang w:eastAsia="en-GB"/>
        </w:rPr>
      </w:pPr>
    </w:p>
    <w:p w14:paraId="608B5E01" w14:textId="77777777" w:rsidR="00D338A7" w:rsidRPr="00E06F2E" w:rsidRDefault="009B0817" w:rsidP="00D338A7">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Councils Green Agenda and all environmental considerations are in place.</w:t>
      </w:r>
    </w:p>
    <w:p w14:paraId="608B5E02" w14:textId="77777777" w:rsidR="00D338A7" w:rsidRPr="004758E2" w:rsidRDefault="00AC69EF" w:rsidP="00D338A7">
      <w:pPr>
        <w:tabs>
          <w:tab w:val="left" w:pos="567"/>
        </w:tabs>
        <w:spacing w:line="240" w:lineRule="auto"/>
        <w:ind w:right="-284"/>
        <w:rPr>
          <w:rFonts w:ascii="Arial" w:eastAsia="Times New Roman" w:hAnsi="Arial" w:cs="Arial"/>
          <w:lang w:eastAsia="en-GB"/>
        </w:rPr>
      </w:pPr>
    </w:p>
    <w:p w14:paraId="608B5E03" w14:textId="77777777" w:rsidR="00D338A7" w:rsidRPr="00ED4FF1" w:rsidRDefault="009B0817"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608B5E04" w14:textId="77777777" w:rsidR="00D338A7" w:rsidRPr="003249A9" w:rsidRDefault="009B0817" w:rsidP="00D338A7">
      <w:pPr>
        <w:pStyle w:val="ListParagraph"/>
        <w:numPr>
          <w:ilvl w:val="0"/>
          <w:numId w:val="8"/>
        </w:numPr>
        <w:rPr>
          <w:rFonts w:cstheme="minorHAnsi"/>
          <w:bCs/>
          <w:iCs/>
        </w:rPr>
      </w:pPr>
      <w:bookmarkStart w:id="15" w:name="_Hlk80873866"/>
      <w:r w:rsidRPr="003249A9">
        <w:rPr>
          <w:rFonts w:cstheme="minorHAnsi"/>
          <w:bCs/>
          <w:iCs/>
        </w:rPr>
        <w:t>Equality and Diversity is embedded within the corporate strategy and how the council acts. An equality impact assessment was undertaken as part of the corporate plan refresh and each individual project will have its own equality impact assessment which are being revised and reassessed during quarter three.</w:t>
      </w:r>
    </w:p>
    <w:bookmarkEnd w:id="15"/>
    <w:p w14:paraId="608B5E05" w14:textId="77777777" w:rsidR="00D338A7" w:rsidRDefault="009B0817" w:rsidP="00D338A7">
      <w:pPr>
        <w:pStyle w:val="Heading2"/>
        <w:rPr>
          <w:rFonts w:asciiTheme="majorHAnsi" w:hAnsiTheme="majorHAnsi" w:cstheme="majorHAnsi"/>
          <w:sz w:val="22"/>
          <w:szCs w:val="22"/>
        </w:rPr>
      </w:pPr>
      <w:r>
        <w:rPr>
          <w:rFonts w:asciiTheme="majorHAnsi" w:hAnsiTheme="majorHAnsi" w:cstheme="majorHAnsi"/>
          <w:sz w:val="22"/>
          <w:szCs w:val="22"/>
        </w:rPr>
        <w:t>Risk</w:t>
      </w:r>
    </w:p>
    <w:p w14:paraId="608B5E06" w14:textId="77777777" w:rsidR="00D338A7" w:rsidRDefault="009B0817" w:rsidP="00D338A7">
      <w:pPr>
        <w:pStyle w:val="Heading2"/>
        <w:numPr>
          <w:ilvl w:val="0"/>
          <w:numId w:val="8"/>
        </w:numPr>
        <w:spacing w:after="0" w:afterAutospacing="0"/>
        <w:rPr>
          <w:rFonts w:asciiTheme="majorHAnsi" w:hAnsiTheme="majorHAnsi" w:cstheme="majorHAnsi"/>
          <w:b w:val="0"/>
          <w:bCs w:val="0"/>
          <w:sz w:val="22"/>
          <w:szCs w:val="22"/>
        </w:rPr>
      </w:pPr>
      <w:bookmarkStart w:id="16" w:name="_Hlk80873940"/>
      <w:r w:rsidRPr="003249A9">
        <w:rPr>
          <w:rFonts w:asciiTheme="majorHAnsi" w:hAnsiTheme="majorHAnsi" w:cstheme="majorHAnsi"/>
          <w:b w:val="0"/>
          <w:bCs w:val="0"/>
          <w:sz w:val="22"/>
          <w:szCs w:val="22"/>
        </w:rPr>
        <w:t>Risk registers are being completed for each project which will inform the wider risk assessment on an ongoing basis for the corporate strategy.</w:t>
      </w:r>
    </w:p>
    <w:bookmarkEnd w:id="16"/>
    <w:p w14:paraId="608B5E07" w14:textId="77777777" w:rsidR="00D338A7" w:rsidRPr="003249A9" w:rsidRDefault="009B0817" w:rsidP="00D338A7">
      <w:pPr>
        <w:spacing w:after="0"/>
      </w:pPr>
      <w:r w:rsidRPr="003249A9">
        <w:t xml:space="preserve"> </w:t>
      </w:r>
    </w:p>
    <w:p w14:paraId="608B5E08" w14:textId="77777777" w:rsidR="00D338A7" w:rsidRDefault="009B0817" w:rsidP="00D338A7">
      <w:pPr>
        <w:pStyle w:val="Heading2"/>
        <w:numPr>
          <w:ilvl w:val="0"/>
          <w:numId w:val="8"/>
        </w:numPr>
        <w:spacing w:before="0" w:beforeAutospacing="0" w:after="0" w:afterAutospacing="0"/>
        <w:rPr>
          <w:rFonts w:asciiTheme="majorHAnsi" w:hAnsiTheme="majorHAnsi" w:cstheme="majorHAnsi"/>
          <w:b w:val="0"/>
          <w:bCs w:val="0"/>
          <w:sz w:val="22"/>
          <w:szCs w:val="22"/>
        </w:rPr>
      </w:pPr>
      <w:bookmarkStart w:id="17" w:name="_Hlk80873910"/>
      <w:r w:rsidRPr="003249A9">
        <w:rPr>
          <w:rFonts w:asciiTheme="majorHAnsi" w:hAnsiTheme="majorHAnsi" w:cstheme="majorHAnsi"/>
          <w:b w:val="0"/>
          <w:bCs w:val="0"/>
          <w:sz w:val="22"/>
          <w:szCs w:val="22"/>
        </w:rPr>
        <w:t xml:space="preserve">In considering the risk to the overall corporate strategy programme, the number of green rated projects provides a positive outlook and confidence in delivery. Proactive management of risks around budgets and the impact of Covid recovery remain a focus of the programme board when reviewing progress each quarter. </w:t>
      </w:r>
    </w:p>
    <w:bookmarkEnd w:id="17"/>
    <w:p w14:paraId="608B5E09" w14:textId="77777777" w:rsidR="00D338A7" w:rsidRPr="003249A9" w:rsidRDefault="00AC69EF" w:rsidP="00D338A7">
      <w:pPr>
        <w:pStyle w:val="Heading2"/>
        <w:spacing w:before="0" w:beforeAutospacing="0" w:after="0" w:afterAutospacing="0"/>
        <w:ind w:left="360"/>
        <w:rPr>
          <w:rFonts w:asciiTheme="majorHAnsi" w:hAnsiTheme="majorHAnsi" w:cstheme="majorHAnsi"/>
          <w:b w:val="0"/>
          <w:bCs w:val="0"/>
          <w:sz w:val="22"/>
          <w:szCs w:val="22"/>
        </w:rPr>
      </w:pPr>
    </w:p>
    <w:p w14:paraId="608B5E0A" w14:textId="77777777" w:rsidR="00D338A7" w:rsidRPr="00ED4FF1" w:rsidRDefault="009B0817"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Statutory Finance Officer</w:t>
      </w:r>
    </w:p>
    <w:p w14:paraId="608B5E0B" w14:textId="77777777" w:rsidR="00D338A7" w:rsidRPr="00883AC9" w:rsidRDefault="009B0817" w:rsidP="00D338A7">
      <w:pPr>
        <w:numPr>
          <w:ilvl w:val="0"/>
          <w:numId w:val="8"/>
        </w:numPr>
        <w:spacing w:after="0" w:line="240" w:lineRule="auto"/>
        <w:jc w:val="both"/>
        <w:rPr>
          <w:rFonts w:cstheme="minorHAnsi"/>
          <w:bCs/>
          <w:iCs/>
        </w:rPr>
      </w:pPr>
      <w:r w:rsidRPr="003249A9">
        <w:rPr>
          <w:rFonts w:cstheme="minorHAnsi"/>
          <w:bCs/>
          <w:iCs/>
        </w:rPr>
        <w:t>The delivery of the Council’s Corporate Objectives are supported by the budgets set within in the Medium Term Financial Strategy.</w:t>
      </w:r>
    </w:p>
    <w:p w14:paraId="608B5E0C" w14:textId="77777777" w:rsidR="00D338A7" w:rsidRPr="00D4431F" w:rsidRDefault="00AC69EF" w:rsidP="00D338A7">
      <w:pPr>
        <w:spacing w:after="0" w:line="240" w:lineRule="auto"/>
        <w:ind w:left="720"/>
        <w:jc w:val="both"/>
        <w:rPr>
          <w:rFonts w:cstheme="minorHAnsi"/>
          <w:bCs/>
        </w:rPr>
      </w:pPr>
    </w:p>
    <w:p w14:paraId="608B5E0D" w14:textId="77777777" w:rsidR="00D338A7" w:rsidRPr="00ED4FF1" w:rsidRDefault="009B0817" w:rsidP="00D338A7">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608B5E0E" w14:textId="77777777" w:rsidR="00D338A7" w:rsidRPr="00883AC9" w:rsidRDefault="009B0817" w:rsidP="00D338A7">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issues of concern from a Monitoring Officer point of view. The report provides an overview of the council’s performance in terms of delivering the Corporate Strategy and delivery against its corporate priorities. The report is for noting and consideration.</w:t>
      </w:r>
    </w:p>
    <w:p w14:paraId="608B5E0F" w14:textId="77777777" w:rsidR="00D338A7" w:rsidRPr="00D1305C" w:rsidRDefault="00AC69EF" w:rsidP="00D338A7">
      <w:pPr>
        <w:spacing w:after="0" w:line="240" w:lineRule="auto"/>
        <w:ind w:left="720"/>
        <w:jc w:val="both"/>
        <w:rPr>
          <w:rFonts w:cstheme="minorHAnsi"/>
          <w:bCs/>
        </w:rPr>
      </w:pPr>
    </w:p>
    <w:p w14:paraId="608B5E10" w14:textId="77777777" w:rsidR="00D338A7" w:rsidRPr="00D1305C" w:rsidRDefault="009B0817" w:rsidP="00D338A7">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608B5E11" w14:textId="77777777" w:rsidR="00D338A7" w:rsidRDefault="009B0817" w:rsidP="00D338A7">
      <w:pPr>
        <w:pStyle w:val="ListParagraph"/>
        <w:numPr>
          <w:ilvl w:val="0"/>
          <w:numId w:val="13"/>
        </w:numPr>
        <w:spacing w:after="0" w:line="240" w:lineRule="auto"/>
        <w:ind w:left="1134" w:hanging="425"/>
        <w:rPr>
          <w:rFonts w:ascii="Arial" w:eastAsia="Calibri" w:hAnsi="Arial" w:cs="Times New Roman"/>
        </w:rPr>
      </w:pPr>
      <w:bookmarkStart w:id="18" w:name="_Hlk80874040"/>
      <w:r w:rsidRPr="009C1168">
        <w:rPr>
          <w:rFonts w:ascii="Arial" w:eastAsia="Calibri" w:hAnsi="Arial" w:cs="Times New Roman"/>
        </w:rPr>
        <w:t>Corporate Plan, approved 30th September 2020</w:t>
      </w:r>
    </w:p>
    <w:bookmarkEnd w:id="18"/>
    <w:p w14:paraId="608B5E12" w14:textId="77777777" w:rsidR="00D338A7" w:rsidRPr="00201F8E" w:rsidRDefault="00AC69EF" w:rsidP="00D338A7">
      <w:pPr>
        <w:spacing w:after="0" w:line="240" w:lineRule="auto"/>
        <w:rPr>
          <w:rFonts w:ascii="Arial" w:eastAsia="Calibri" w:hAnsi="Arial" w:cs="Times New Roman"/>
        </w:rPr>
      </w:pPr>
    </w:p>
    <w:p w14:paraId="608B5E13" w14:textId="77777777" w:rsidR="00D338A7" w:rsidRPr="00ED4FF1" w:rsidRDefault="009B0817" w:rsidP="00D338A7">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608B5E14" w14:textId="77777777" w:rsidR="00D338A7" w:rsidRPr="009C1168" w:rsidRDefault="009B0817" w:rsidP="00D338A7">
      <w:pPr>
        <w:pStyle w:val="ListParagraph"/>
        <w:numPr>
          <w:ilvl w:val="0"/>
          <w:numId w:val="13"/>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1 - Performance of the Corporate Strategy Measures </w:t>
      </w:r>
    </w:p>
    <w:p w14:paraId="608B5E15" w14:textId="77777777" w:rsidR="00D338A7" w:rsidRDefault="009B0817" w:rsidP="00D338A7">
      <w:pPr>
        <w:pStyle w:val="ListParagraph"/>
        <w:numPr>
          <w:ilvl w:val="0"/>
          <w:numId w:val="13"/>
        </w:numPr>
        <w:spacing w:after="0" w:line="240" w:lineRule="auto"/>
        <w:ind w:left="1134" w:hanging="425"/>
        <w:rPr>
          <w:rFonts w:ascii="Arial" w:eastAsia="Calibri" w:hAnsi="Arial" w:cs="Times New Roman"/>
        </w:rPr>
      </w:pPr>
      <w:r w:rsidRPr="009C1168">
        <w:rPr>
          <w:rFonts w:ascii="Arial" w:eastAsia="Calibri" w:hAnsi="Arial" w:cs="Times New Roman"/>
        </w:rPr>
        <w:t xml:space="preserve">Appendix 2 - Key Organisational Performance Measures </w:t>
      </w:r>
    </w:p>
    <w:p w14:paraId="608B5E16" w14:textId="77777777" w:rsidR="00D338A7" w:rsidRDefault="00AC69EF" w:rsidP="00D338A7">
      <w:pPr>
        <w:spacing w:after="0" w:line="240" w:lineRule="auto"/>
        <w:rPr>
          <w:rFonts w:ascii="Arial" w:eastAsia="Calibri" w:hAnsi="Arial" w:cs="Times New Roman"/>
        </w:rPr>
      </w:pPr>
    </w:p>
    <w:p w14:paraId="608B5E17" w14:textId="77777777" w:rsidR="00D338A7" w:rsidRDefault="00AC69EF" w:rsidP="00D338A7">
      <w:pPr>
        <w:spacing w:after="0" w:line="240" w:lineRule="auto"/>
        <w:rPr>
          <w:rFonts w:ascii="Arial" w:eastAsia="Calibri" w:hAnsi="Arial" w:cs="Times New Roman"/>
        </w:rPr>
      </w:pPr>
    </w:p>
    <w:p w14:paraId="608B5E18" w14:textId="77777777" w:rsidR="00D338A7" w:rsidRPr="00D338A7" w:rsidRDefault="00AC69EF" w:rsidP="00D338A7">
      <w:pPr>
        <w:spacing w:after="0" w:line="240" w:lineRule="auto"/>
        <w:rPr>
          <w:rFonts w:ascii="Arial" w:eastAsia="Calibri" w:hAnsi="Arial" w:cs="Times New Roman"/>
        </w:rPr>
      </w:pPr>
    </w:p>
    <w:p w14:paraId="608B5E19" w14:textId="77777777" w:rsidR="00D338A7" w:rsidRDefault="00AC69EF" w:rsidP="00D338A7">
      <w:pPr>
        <w:spacing w:after="0" w:line="240" w:lineRule="auto"/>
        <w:rPr>
          <w:rFonts w:ascii="Arial" w:eastAsia="Calibri" w:hAnsi="Arial" w:cs="Times New Roma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073"/>
        <w:gridCol w:w="1329"/>
        <w:gridCol w:w="1418"/>
      </w:tblGrid>
      <w:tr w:rsidR="00511E98" w14:paraId="608B5E1E" w14:textId="77777777" w:rsidTr="00D338A7">
        <w:tc>
          <w:tcPr>
            <w:tcW w:w="4565" w:type="dxa"/>
            <w:tcBorders>
              <w:top w:val="single" w:sz="4" w:space="0" w:color="auto"/>
              <w:left w:val="single" w:sz="4" w:space="0" w:color="auto"/>
              <w:bottom w:val="single" w:sz="4" w:space="0" w:color="auto"/>
              <w:right w:val="single" w:sz="4" w:space="0" w:color="auto"/>
            </w:tcBorders>
            <w:shd w:val="clear" w:color="auto" w:fill="auto"/>
          </w:tcPr>
          <w:p w14:paraId="608B5E1A" w14:textId="77777777" w:rsidR="00D338A7" w:rsidRPr="00D4431F" w:rsidRDefault="009B0817" w:rsidP="00D338A7">
            <w:pPr>
              <w:spacing w:line="240" w:lineRule="auto"/>
              <w:jc w:val="both"/>
              <w:rPr>
                <w:rFonts w:cstheme="minorHAnsi"/>
                <w:bCs/>
              </w:rPr>
            </w:pPr>
            <w:r w:rsidRPr="00D4431F">
              <w:rPr>
                <w:rFonts w:cstheme="minorHAnsi"/>
                <w:bCs/>
              </w:rPr>
              <w:lastRenderedPageBreak/>
              <w:t>Report Author:</w:t>
            </w:r>
          </w:p>
        </w:tc>
        <w:tc>
          <w:tcPr>
            <w:tcW w:w="2073" w:type="dxa"/>
            <w:tcBorders>
              <w:top w:val="single" w:sz="4" w:space="0" w:color="auto"/>
              <w:left w:val="single" w:sz="4" w:space="0" w:color="auto"/>
              <w:bottom w:val="single" w:sz="4" w:space="0" w:color="auto"/>
              <w:right w:val="single" w:sz="4" w:space="0" w:color="auto"/>
            </w:tcBorders>
          </w:tcPr>
          <w:p w14:paraId="608B5E1B" w14:textId="77777777" w:rsidR="00D338A7" w:rsidRPr="00D4431F" w:rsidRDefault="009B0817" w:rsidP="00D338A7">
            <w:pPr>
              <w:spacing w:line="240" w:lineRule="auto"/>
              <w:jc w:val="both"/>
              <w:rPr>
                <w:rFonts w:cstheme="minorHAnsi"/>
                <w:bCs/>
              </w:rPr>
            </w:pPr>
            <w:r w:rsidRPr="00D4431F">
              <w:rPr>
                <w:rFonts w:cstheme="minorHAnsi"/>
                <w:bCs/>
              </w:rPr>
              <w:t>Email:</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08B5E1C" w14:textId="77777777" w:rsidR="00D338A7" w:rsidRPr="00D4431F" w:rsidRDefault="009B0817" w:rsidP="00D338A7">
            <w:pPr>
              <w:spacing w:line="240" w:lineRule="auto"/>
              <w:jc w:val="both"/>
              <w:rPr>
                <w:rFonts w:cstheme="minorHAnsi"/>
                <w:bCs/>
              </w:rPr>
            </w:pPr>
            <w:r w:rsidRPr="00D4431F">
              <w:rPr>
                <w:rFonts w:cstheme="minorHAnsi"/>
                <w:bCs/>
              </w:rPr>
              <w:t>Telephone: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8B5E1D" w14:textId="77777777" w:rsidR="00D338A7" w:rsidRPr="00D4431F" w:rsidRDefault="009B0817" w:rsidP="00D338A7">
            <w:pPr>
              <w:spacing w:line="240" w:lineRule="auto"/>
              <w:jc w:val="both"/>
              <w:rPr>
                <w:rFonts w:cstheme="minorHAnsi"/>
                <w:bCs/>
              </w:rPr>
            </w:pPr>
            <w:r w:rsidRPr="00D4431F">
              <w:rPr>
                <w:rFonts w:cstheme="minorHAnsi"/>
                <w:bCs/>
              </w:rPr>
              <w:t>Date:</w:t>
            </w:r>
          </w:p>
        </w:tc>
      </w:tr>
      <w:tr w:rsidR="00511E98" w14:paraId="608B5E25" w14:textId="77777777" w:rsidTr="00D338A7">
        <w:trPr>
          <w:trHeight w:val="1404"/>
        </w:trPr>
        <w:tc>
          <w:tcPr>
            <w:tcW w:w="4565" w:type="dxa"/>
            <w:tcBorders>
              <w:top w:val="single" w:sz="4" w:space="0" w:color="auto"/>
              <w:left w:val="single" w:sz="4" w:space="0" w:color="auto"/>
              <w:bottom w:val="single" w:sz="4" w:space="0" w:color="auto"/>
              <w:right w:val="single" w:sz="4" w:space="0" w:color="auto"/>
            </w:tcBorders>
            <w:shd w:val="clear" w:color="auto" w:fill="auto"/>
          </w:tcPr>
          <w:p w14:paraId="608B5E1F" w14:textId="77777777" w:rsidR="00D338A7" w:rsidRDefault="009B0817" w:rsidP="00D338A7">
            <w:pPr>
              <w:spacing w:after="0" w:line="240" w:lineRule="auto"/>
              <w:rPr>
                <w:rFonts w:cstheme="minorHAnsi"/>
                <w:bCs/>
              </w:rPr>
            </w:pPr>
            <w:r w:rsidRPr="009C1168">
              <w:rPr>
                <w:rFonts w:cstheme="minorHAnsi"/>
                <w:bCs/>
              </w:rPr>
              <w:t>Howard</w:t>
            </w:r>
            <w:r>
              <w:rPr>
                <w:rFonts w:cstheme="minorHAnsi"/>
                <w:bCs/>
              </w:rPr>
              <w:t xml:space="preserve"> </w:t>
            </w:r>
            <w:r w:rsidRPr="009C1168">
              <w:rPr>
                <w:rFonts w:cstheme="minorHAnsi"/>
                <w:bCs/>
              </w:rPr>
              <w:t>Anthony</w:t>
            </w:r>
            <w:r>
              <w:rPr>
                <w:rFonts w:cstheme="minorHAnsi"/>
                <w:bCs/>
              </w:rPr>
              <w:t xml:space="preserve"> (</w:t>
            </w:r>
            <w:r w:rsidRPr="009C1168">
              <w:rPr>
                <w:rFonts w:cstheme="minorHAnsi"/>
                <w:bCs/>
              </w:rPr>
              <w:t>Shared Service Performance and Partnership Team Leader</w:t>
            </w:r>
            <w:r>
              <w:rPr>
                <w:rFonts w:cstheme="minorHAnsi"/>
                <w:bCs/>
              </w:rPr>
              <w:t>)</w:t>
            </w:r>
            <w:r w:rsidRPr="009C1168">
              <w:rPr>
                <w:rFonts w:cstheme="minorHAnsi"/>
                <w:bCs/>
              </w:rPr>
              <w:t>,</w:t>
            </w:r>
          </w:p>
          <w:p w14:paraId="608B5E20" w14:textId="77777777" w:rsidR="00D338A7" w:rsidRPr="009C1168" w:rsidRDefault="009B0817" w:rsidP="00D338A7">
            <w:pPr>
              <w:spacing w:after="0" w:line="240" w:lineRule="auto"/>
              <w:rPr>
                <w:rFonts w:cstheme="minorHAnsi"/>
                <w:bCs/>
              </w:rPr>
            </w:pPr>
            <w:r w:rsidRPr="009C1168">
              <w:rPr>
                <w:rFonts w:cstheme="minorHAnsi"/>
                <w:bCs/>
              </w:rPr>
              <w:t>Michael Johnson</w:t>
            </w:r>
            <w:r>
              <w:rPr>
                <w:rFonts w:cstheme="minorHAnsi"/>
                <w:bCs/>
              </w:rPr>
              <w:t xml:space="preserve"> (</w:t>
            </w:r>
            <w:r w:rsidRPr="009C1168">
              <w:rPr>
                <w:rFonts w:cstheme="minorHAnsi"/>
                <w:bCs/>
              </w:rPr>
              <w:t>Shared Service Performance and Policy Officer)</w:t>
            </w:r>
          </w:p>
        </w:tc>
        <w:tc>
          <w:tcPr>
            <w:tcW w:w="2073" w:type="dxa"/>
            <w:tcBorders>
              <w:top w:val="single" w:sz="4" w:space="0" w:color="auto"/>
              <w:left w:val="single" w:sz="4" w:space="0" w:color="auto"/>
              <w:bottom w:val="single" w:sz="4" w:space="0" w:color="auto"/>
              <w:right w:val="single" w:sz="4" w:space="0" w:color="auto"/>
            </w:tcBorders>
          </w:tcPr>
          <w:p w14:paraId="608B5E21" w14:textId="77777777" w:rsidR="00D338A7" w:rsidRDefault="00AC69EF" w:rsidP="00D338A7">
            <w:pPr>
              <w:spacing w:line="240" w:lineRule="auto"/>
              <w:jc w:val="both"/>
              <w:rPr>
                <w:rFonts w:cstheme="minorHAnsi"/>
                <w:bCs/>
              </w:rPr>
            </w:pPr>
            <w:hyperlink r:id="rId19" w:history="1">
              <w:r w:rsidR="009B0817" w:rsidRPr="00201F8E">
                <w:rPr>
                  <w:rStyle w:val="Hyperlink"/>
                  <w:rFonts w:cstheme="minorHAnsi"/>
                  <w:bCs/>
                </w:rPr>
                <w:t>Howard.anthony@southribble.gov.uk</w:t>
              </w:r>
            </w:hyperlink>
            <w:r w:rsidR="009B0817">
              <w:rPr>
                <w:rFonts w:cstheme="minorHAnsi"/>
                <w:bCs/>
              </w:rPr>
              <w:t>,</w:t>
            </w:r>
          </w:p>
          <w:p w14:paraId="608B5E22" w14:textId="77777777" w:rsidR="00D338A7" w:rsidRDefault="00AC69EF" w:rsidP="00D338A7">
            <w:pPr>
              <w:spacing w:line="240" w:lineRule="auto"/>
              <w:jc w:val="both"/>
              <w:rPr>
                <w:rFonts w:cstheme="minorHAnsi"/>
                <w:bCs/>
              </w:rPr>
            </w:pPr>
            <w:hyperlink r:id="rId20" w:history="1">
              <w:r w:rsidR="009B0817" w:rsidRPr="00201F8E">
                <w:rPr>
                  <w:rStyle w:val="Hyperlink"/>
                  <w:rFonts w:cstheme="minorHAnsi"/>
                  <w:bCs/>
                </w:rPr>
                <w:t>Michael.johnson@southribble.gov.uk</w:t>
              </w:r>
            </w:hyperlink>
            <w:r w:rsidR="009B0817">
              <w:rPr>
                <w:rFonts w:cstheme="minorHAnsi"/>
                <w:bCs/>
              </w:rPr>
              <w:t>,</w:t>
            </w: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08B5E23" w14:textId="77777777" w:rsidR="00D338A7" w:rsidRPr="00D4431F" w:rsidRDefault="009B0817" w:rsidP="00D338A7">
            <w:pPr>
              <w:spacing w:line="240" w:lineRule="auto"/>
              <w:jc w:val="both"/>
              <w:rPr>
                <w:rFonts w:cstheme="minorHAnsi"/>
                <w:bCs/>
              </w:rPr>
            </w:pPr>
            <w:r w:rsidRPr="009C1168">
              <w:rPr>
                <w:rFonts w:cstheme="minorHAnsi"/>
                <w:bCs/>
              </w:rPr>
              <w:t>01772 625546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8B5E24" w14:textId="77777777" w:rsidR="00D338A7" w:rsidRDefault="009B0817" w:rsidP="00D338A7">
            <w:pPr>
              <w:spacing w:line="240" w:lineRule="auto"/>
              <w:jc w:val="both"/>
              <w:rPr>
                <w:rFonts w:cstheme="minorHAnsi"/>
                <w:bCs/>
              </w:rPr>
            </w:pPr>
            <w:r>
              <w:rPr>
                <w:rFonts w:cstheme="minorHAnsi"/>
                <w:bCs/>
              </w:rPr>
              <w:t>13</w:t>
            </w:r>
            <w:r w:rsidRPr="00216907">
              <w:rPr>
                <w:rFonts w:cstheme="minorHAnsi"/>
                <w:bCs/>
              </w:rPr>
              <w:t>/0</w:t>
            </w:r>
            <w:r>
              <w:rPr>
                <w:rFonts w:cstheme="minorHAnsi"/>
                <w:bCs/>
              </w:rPr>
              <w:t>8</w:t>
            </w:r>
            <w:r w:rsidRPr="00216907">
              <w:rPr>
                <w:rFonts w:cstheme="minorHAnsi"/>
                <w:bCs/>
              </w:rPr>
              <w:t>/2021</w:t>
            </w:r>
          </w:p>
        </w:tc>
      </w:tr>
    </w:tbl>
    <w:p w14:paraId="608B5E26" w14:textId="77777777" w:rsidR="00D338A7" w:rsidRDefault="00AC69EF" w:rsidP="00D338A7">
      <w:pPr>
        <w:rPr>
          <w:rFonts w:cstheme="minorHAnsi"/>
          <w:bCs/>
          <w:color w:val="000000" w:themeColor="text1"/>
          <w:lang w:val="en-US"/>
        </w:rPr>
      </w:pPr>
    </w:p>
    <w:p w14:paraId="608B5E27" w14:textId="77777777" w:rsidR="00D338A7" w:rsidRDefault="00AC69EF" w:rsidP="00D338A7">
      <w:pPr>
        <w:rPr>
          <w:rFonts w:cstheme="minorHAnsi"/>
          <w:bCs/>
          <w:color w:val="000000" w:themeColor="text1"/>
          <w:lang w:val="en-US"/>
        </w:rPr>
        <w:sectPr w:rsidR="00D338A7" w:rsidSect="00D338A7">
          <w:pgSz w:w="11906" w:h="16838"/>
          <w:pgMar w:top="1440" w:right="1440" w:bottom="851" w:left="1440" w:header="708" w:footer="708" w:gutter="0"/>
          <w:cols w:space="708"/>
          <w:docGrid w:linePitch="360"/>
        </w:sectPr>
      </w:pPr>
    </w:p>
    <w:p w14:paraId="608B5E28" w14:textId="77777777" w:rsidR="00D338A7" w:rsidRPr="003249A9" w:rsidRDefault="009B0817" w:rsidP="00D338A7">
      <w:pPr>
        <w:spacing w:after="100" w:afterAutospacing="1" w:line="240" w:lineRule="auto"/>
        <w:ind w:left="-284"/>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lastRenderedPageBreak/>
        <w:t>Appendix 1 – Performance of the Corporate Strategy Measures</w:t>
      </w:r>
    </w:p>
    <w:tbl>
      <w:tblPr>
        <w:tblW w:w="95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665"/>
        <w:gridCol w:w="605"/>
        <w:gridCol w:w="2658"/>
        <w:gridCol w:w="609"/>
        <w:gridCol w:w="2425"/>
      </w:tblGrid>
      <w:tr w:rsidR="00511E98" w14:paraId="608B5E2F" w14:textId="77777777" w:rsidTr="00D338A7">
        <w:trPr>
          <w:trHeight w:val="272"/>
        </w:trPr>
        <w:tc>
          <w:tcPr>
            <w:tcW w:w="598" w:type="dxa"/>
            <w:tcBorders>
              <w:right w:val="nil"/>
            </w:tcBorders>
            <w:shd w:val="clear" w:color="auto" w:fill="auto"/>
            <w:vAlign w:val="center"/>
          </w:tcPr>
          <w:p w14:paraId="608B5E29" w14:textId="77777777" w:rsidR="00D338A7" w:rsidRPr="003249A9" w:rsidRDefault="009B0817" w:rsidP="00D338A7">
            <w:pPr>
              <w:widowControl w:val="0"/>
              <w:spacing w:line="259" w:lineRule="auto"/>
              <w:contextualSpacing/>
              <w:jc w:val="center"/>
              <w:outlineLvl w:val="0"/>
              <w:rPr>
                <w:rFonts w:eastAsia="Arial" w:cs="Times New Roman"/>
                <w:b/>
                <w:color w:val="00B050"/>
              </w:rPr>
            </w:pPr>
            <w:r w:rsidRPr="003249A9">
              <w:rPr>
                <w:rFonts w:ascii="Wingdings 3" w:eastAsia="Arial" w:hAnsi="Wingdings 3" w:cs="Times New Roman"/>
                <w:color w:val="FF0000"/>
                <w:sz w:val="32"/>
              </w:rPr>
              <w:sym w:font="Wingdings 3" w:char="F070"/>
            </w:r>
          </w:p>
        </w:tc>
        <w:tc>
          <w:tcPr>
            <w:tcW w:w="2665" w:type="dxa"/>
            <w:tcBorders>
              <w:left w:val="nil"/>
            </w:tcBorders>
            <w:shd w:val="clear" w:color="auto" w:fill="auto"/>
            <w:vAlign w:val="center"/>
          </w:tcPr>
          <w:p w14:paraId="608B5E2A" w14:textId="77777777" w:rsidR="00D338A7" w:rsidRPr="003249A9" w:rsidRDefault="009B0817" w:rsidP="00D338A7">
            <w:pPr>
              <w:widowControl w:val="0"/>
              <w:spacing w:line="259" w:lineRule="auto"/>
              <w:contextualSpacing/>
              <w:outlineLvl w:val="0"/>
              <w:rPr>
                <w:rFonts w:eastAsia="Arial" w:cs="Times New Roman"/>
                <w:bCs/>
                <w:color w:val="000000"/>
              </w:rPr>
            </w:pPr>
            <w:r w:rsidRPr="003249A9">
              <w:rPr>
                <w:rFonts w:eastAsia="Arial" w:cs="Times New Roman"/>
                <w:bCs/>
                <w:color w:val="000000"/>
                <w:sz w:val="20"/>
                <w:szCs w:val="20"/>
              </w:rPr>
              <w:t>Worse than target, outside threshold</w:t>
            </w:r>
          </w:p>
        </w:tc>
        <w:tc>
          <w:tcPr>
            <w:tcW w:w="605" w:type="dxa"/>
            <w:tcBorders>
              <w:right w:val="nil"/>
            </w:tcBorders>
          </w:tcPr>
          <w:p w14:paraId="608B5E2B" w14:textId="77777777" w:rsidR="00D338A7" w:rsidRPr="003249A9" w:rsidRDefault="009B0817" w:rsidP="00D338A7">
            <w:pPr>
              <w:widowControl w:val="0"/>
              <w:spacing w:line="259" w:lineRule="auto"/>
              <w:contextualSpacing/>
              <w:jc w:val="center"/>
              <w:outlineLvl w:val="0"/>
              <w:rPr>
                <w:rFonts w:eastAsia="Arial" w:cs="Times New Roman"/>
                <w:bCs/>
                <w:color w:val="000000"/>
              </w:rPr>
            </w:pPr>
            <w:r w:rsidRPr="003249A9">
              <w:rPr>
                <w:rFonts w:ascii="Wingdings" w:eastAsia="Arial" w:hAnsi="Wingdings" w:cs="Times New Roman"/>
                <w:color w:val="5B9BD5"/>
                <w:sz w:val="44"/>
              </w:rPr>
              <w:sym w:font="Wingdings" w:char="F06C"/>
            </w:r>
          </w:p>
        </w:tc>
        <w:tc>
          <w:tcPr>
            <w:tcW w:w="2658" w:type="dxa"/>
            <w:tcBorders>
              <w:left w:val="nil"/>
            </w:tcBorders>
          </w:tcPr>
          <w:p w14:paraId="608B5E2C" w14:textId="77777777" w:rsidR="00D338A7" w:rsidRPr="003249A9" w:rsidRDefault="009B0817" w:rsidP="00D338A7">
            <w:pPr>
              <w:widowControl w:val="0"/>
              <w:spacing w:line="259" w:lineRule="auto"/>
              <w:contextualSpacing/>
              <w:outlineLvl w:val="0"/>
              <w:rPr>
                <w:rFonts w:eastAsia="Arial" w:cs="Times New Roman"/>
                <w:bCs/>
                <w:color w:val="000000"/>
              </w:rPr>
            </w:pPr>
            <w:r w:rsidRPr="003249A9">
              <w:rPr>
                <w:rFonts w:eastAsia="Arial" w:cs="Times New Roman"/>
                <w:bCs/>
                <w:color w:val="000000"/>
                <w:sz w:val="20"/>
                <w:szCs w:val="20"/>
              </w:rPr>
              <w:t>Worse than target but within threshold (5%)</w:t>
            </w:r>
          </w:p>
        </w:tc>
        <w:tc>
          <w:tcPr>
            <w:tcW w:w="609" w:type="dxa"/>
            <w:tcBorders>
              <w:right w:val="nil"/>
            </w:tcBorders>
          </w:tcPr>
          <w:p w14:paraId="608B5E2D" w14:textId="77777777" w:rsidR="00D338A7" w:rsidRPr="003249A9" w:rsidRDefault="009B0817" w:rsidP="00D338A7">
            <w:pPr>
              <w:widowControl w:val="0"/>
              <w:spacing w:line="259" w:lineRule="auto"/>
              <w:contextualSpacing/>
              <w:jc w:val="center"/>
              <w:outlineLvl w:val="0"/>
              <w:rPr>
                <w:rFonts w:eastAsia="Arial" w:cs="Times New Roman"/>
                <w:bCs/>
                <w:color w:val="000000"/>
              </w:rPr>
            </w:pPr>
            <w:r w:rsidRPr="003249A9">
              <w:rPr>
                <w:rFonts w:ascii="Wingdings" w:eastAsia="Arial" w:hAnsi="Wingdings" w:cs="Times New Roman"/>
                <w:color w:val="00B050"/>
                <w:sz w:val="44"/>
              </w:rPr>
              <w:sym w:font="Wingdings" w:char="F0AB"/>
            </w:r>
          </w:p>
        </w:tc>
        <w:tc>
          <w:tcPr>
            <w:tcW w:w="2425" w:type="dxa"/>
            <w:tcBorders>
              <w:left w:val="nil"/>
            </w:tcBorders>
            <w:vAlign w:val="center"/>
          </w:tcPr>
          <w:p w14:paraId="608B5E2E" w14:textId="77777777" w:rsidR="00D338A7" w:rsidRPr="003249A9" w:rsidRDefault="009B0817" w:rsidP="00D338A7">
            <w:pPr>
              <w:widowControl w:val="0"/>
              <w:spacing w:line="259" w:lineRule="auto"/>
              <w:contextualSpacing/>
              <w:outlineLvl w:val="0"/>
              <w:rPr>
                <w:rFonts w:eastAsia="Arial" w:cs="Times New Roman"/>
                <w:bCs/>
                <w:color w:val="000000"/>
              </w:rPr>
            </w:pPr>
            <w:r w:rsidRPr="003249A9">
              <w:rPr>
                <w:rFonts w:eastAsia="Arial" w:cs="Times New Roman"/>
                <w:bCs/>
                <w:color w:val="000000"/>
                <w:sz w:val="20"/>
                <w:szCs w:val="20"/>
              </w:rPr>
              <w:t>Performance is better than target</w:t>
            </w:r>
          </w:p>
        </w:tc>
      </w:tr>
    </w:tbl>
    <w:tbl>
      <w:tblPr>
        <w:tblpPr w:leftFromText="180" w:rightFromText="180" w:vertAnchor="text" w:horzAnchor="margin" w:tblpXSpec="center" w:tblpY="2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3"/>
        <w:gridCol w:w="1136"/>
        <w:gridCol w:w="1256"/>
        <w:gridCol w:w="1417"/>
        <w:gridCol w:w="1134"/>
        <w:gridCol w:w="1277"/>
      </w:tblGrid>
      <w:tr w:rsidR="00511E98" w14:paraId="608B5E37" w14:textId="77777777" w:rsidTr="00D338A7">
        <w:trPr>
          <w:trHeight w:val="552"/>
        </w:trPr>
        <w:tc>
          <w:tcPr>
            <w:tcW w:w="3273" w:type="dxa"/>
            <w:shd w:val="clear" w:color="auto" w:fill="BFBFBF"/>
            <w:vAlign w:val="center"/>
          </w:tcPr>
          <w:p w14:paraId="608B5E30" w14:textId="77777777" w:rsidR="00D338A7" w:rsidRPr="003249A9" w:rsidRDefault="009B0817" w:rsidP="00D338A7">
            <w:pPr>
              <w:widowControl w:val="0"/>
              <w:spacing w:after="0" w:line="240" w:lineRule="auto"/>
              <w:outlineLvl w:val="0"/>
              <w:rPr>
                <w:rFonts w:eastAsia="Calibri" w:cs="Times New Roman"/>
                <w:b/>
                <w:bCs/>
              </w:rPr>
            </w:pPr>
            <w:r w:rsidRPr="003249A9">
              <w:rPr>
                <w:rFonts w:eastAsia="Calibri" w:cs="Times New Roman"/>
                <w:b/>
                <w:bCs/>
              </w:rPr>
              <w:t>Indicator Name</w:t>
            </w:r>
          </w:p>
        </w:tc>
        <w:tc>
          <w:tcPr>
            <w:tcW w:w="1136" w:type="dxa"/>
            <w:shd w:val="clear" w:color="auto" w:fill="BFBFBF"/>
            <w:vAlign w:val="center"/>
          </w:tcPr>
          <w:p w14:paraId="608B5E31" w14:textId="77777777" w:rsidR="00D338A7" w:rsidRPr="003249A9" w:rsidRDefault="009B0817" w:rsidP="00D338A7">
            <w:pPr>
              <w:widowControl w:val="0"/>
              <w:spacing w:after="0" w:line="240" w:lineRule="auto"/>
              <w:jc w:val="center"/>
              <w:outlineLvl w:val="0"/>
              <w:rPr>
                <w:rFonts w:eastAsia="Calibri" w:cs="Times New Roman"/>
                <w:b/>
                <w:bCs/>
              </w:rPr>
            </w:pPr>
            <w:r w:rsidRPr="003249A9">
              <w:rPr>
                <w:rFonts w:eastAsia="Calibri" w:cs="Times New Roman"/>
                <w:b/>
                <w:bCs/>
              </w:rPr>
              <w:t>Polarity</w:t>
            </w:r>
          </w:p>
        </w:tc>
        <w:tc>
          <w:tcPr>
            <w:tcW w:w="1256" w:type="dxa"/>
            <w:shd w:val="clear" w:color="auto" w:fill="BFBFBF"/>
            <w:vAlign w:val="center"/>
          </w:tcPr>
          <w:p w14:paraId="608B5E32" w14:textId="77777777" w:rsidR="00D338A7" w:rsidRPr="003249A9" w:rsidRDefault="009B0817" w:rsidP="00D338A7">
            <w:pPr>
              <w:widowControl w:val="0"/>
              <w:spacing w:after="0" w:line="240" w:lineRule="auto"/>
              <w:jc w:val="center"/>
              <w:outlineLvl w:val="0"/>
              <w:rPr>
                <w:rFonts w:eastAsia="Calibri" w:cs="Times New Roman"/>
                <w:b/>
                <w:bCs/>
              </w:rPr>
            </w:pPr>
            <w:r w:rsidRPr="003249A9">
              <w:rPr>
                <w:rFonts w:eastAsia="Calibri" w:cs="Times New Roman"/>
                <w:b/>
                <w:bCs/>
              </w:rPr>
              <w:t>Target</w:t>
            </w:r>
          </w:p>
        </w:tc>
        <w:tc>
          <w:tcPr>
            <w:tcW w:w="1417" w:type="dxa"/>
            <w:shd w:val="clear" w:color="auto" w:fill="BFBFBF" w:themeFill="background1" w:themeFillShade="BF"/>
            <w:vAlign w:val="center"/>
          </w:tcPr>
          <w:p w14:paraId="608B5E33" w14:textId="77777777" w:rsidR="00D338A7" w:rsidRPr="003249A9" w:rsidRDefault="009B0817" w:rsidP="00D338A7">
            <w:pPr>
              <w:widowControl w:val="0"/>
              <w:spacing w:after="0" w:line="240" w:lineRule="auto"/>
              <w:jc w:val="center"/>
              <w:outlineLvl w:val="0"/>
              <w:rPr>
                <w:rFonts w:eastAsia="Calibri" w:cs="Times New Roman"/>
                <w:b/>
                <w:bCs/>
              </w:rPr>
            </w:pPr>
            <w:r w:rsidRPr="003249A9">
              <w:rPr>
                <w:rFonts w:eastAsia="Calibri" w:cs="Times New Roman"/>
                <w:b/>
                <w:bCs/>
              </w:rPr>
              <w:t>Quarter 1</w:t>
            </w:r>
          </w:p>
          <w:p w14:paraId="608B5E34" w14:textId="77777777" w:rsidR="00D338A7" w:rsidRPr="003249A9" w:rsidRDefault="009B0817" w:rsidP="00D338A7">
            <w:pPr>
              <w:widowControl w:val="0"/>
              <w:spacing w:after="0" w:line="240" w:lineRule="auto"/>
              <w:jc w:val="center"/>
              <w:outlineLvl w:val="0"/>
              <w:rPr>
                <w:rFonts w:eastAsia="Calibri" w:cs="Times New Roman"/>
                <w:b/>
                <w:bCs/>
              </w:rPr>
            </w:pPr>
            <w:r w:rsidRPr="003249A9">
              <w:rPr>
                <w:rFonts w:eastAsia="Calibri" w:cs="Times New Roman"/>
                <w:b/>
                <w:bCs/>
              </w:rPr>
              <w:t>2020/21</w:t>
            </w:r>
          </w:p>
        </w:tc>
        <w:tc>
          <w:tcPr>
            <w:tcW w:w="1134" w:type="dxa"/>
            <w:shd w:val="clear" w:color="auto" w:fill="BFBFBF" w:themeFill="background1" w:themeFillShade="BF"/>
            <w:vAlign w:val="center"/>
          </w:tcPr>
          <w:p w14:paraId="608B5E35" w14:textId="77777777" w:rsidR="00D338A7" w:rsidRPr="003249A9" w:rsidRDefault="009B0817" w:rsidP="00D338A7">
            <w:pPr>
              <w:widowControl w:val="0"/>
              <w:spacing w:after="0" w:line="240" w:lineRule="auto"/>
              <w:jc w:val="center"/>
              <w:outlineLvl w:val="0"/>
              <w:rPr>
                <w:rFonts w:eastAsia="Calibri" w:cs="Times New Roman"/>
                <w:b/>
                <w:bCs/>
              </w:rPr>
            </w:pPr>
            <w:r w:rsidRPr="003249A9">
              <w:rPr>
                <w:rFonts w:eastAsia="Calibri" w:cs="Times New Roman"/>
                <w:b/>
                <w:bCs/>
              </w:rPr>
              <w:t>Symbol</w:t>
            </w:r>
          </w:p>
        </w:tc>
        <w:tc>
          <w:tcPr>
            <w:tcW w:w="1277" w:type="dxa"/>
            <w:tcBorders>
              <w:right w:val="single" w:sz="8" w:space="0" w:color="auto"/>
            </w:tcBorders>
            <w:shd w:val="clear" w:color="auto" w:fill="BFBFBF" w:themeFill="background1" w:themeFillShade="BF"/>
            <w:vAlign w:val="center"/>
          </w:tcPr>
          <w:p w14:paraId="608B5E36" w14:textId="77777777" w:rsidR="00D338A7" w:rsidRPr="003249A9" w:rsidRDefault="009B0817" w:rsidP="00D338A7">
            <w:pPr>
              <w:widowControl w:val="0"/>
              <w:spacing w:after="0" w:line="240" w:lineRule="auto"/>
              <w:jc w:val="center"/>
              <w:outlineLvl w:val="0"/>
              <w:rPr>
                <w:rFonts w:eastAsia="Calibri" w:cs="Times New Roman"/>
                <w:b/>
                <w:bCs/>
              </w:rPr>
            </w:pPr>
            <w:r w:rsidRPr="003249A9">
              <w:rPr>
                <w:rFonts w:eastAsia="Calibri" w:cs="Times New Roman"/>
                <w:b/>
                <w:bCs/>
              </w:rPr>
              <w:t>Trend</w:t>
            </w:r>
          </w:p>
        </w:tc>
      </w:tr>
      <w:tr w:rsidR="00511E98" w14:paraId="608B5E39" w14:textId="77777777" w:rsidTr="00D338A7">
        <w:trPr>
          <w:trHeight w:val="506"/>
        </w:trPr>
        <w:tc>
          <w:tcPr>
            <w:tcW w:w="9493" w:type="dxa"/>
            <w:gridSpan w:val="6"/>
            <w:tcBorders>
              <w:right w:val="single" w:sz="8" w:space="0" w:color="auto"/>
            </w:tcBorders>
            <w:shd w:val="clear" w:color="auto" w:fill="auto"/>
            <w:vAlign w:val="center"/>
          </w:tcPr>
          <w:p w14:paraId="608B5E38" w14:textId="77777777" w:rsidR="00D338A7" w:rsidRPr="003249A9" w:rsidRDefault="009B0817" w:rsidP="00D338A7">
            <w:pPr>
              <w:widowControl w:val="0"/>
              <w:spacing w:line="256" w:lineRule="auto"/>
              <w:contextualSpacing/>
              <w:outlineLvl w:val="0"/>
              <w:rPr>
                <w:rFonts w:eastAsia="Calibri" w:cs="Times New Roman"/>
                <w:b/>
                <w:bCs/>
                <w:color w:val="FF0000"/>
                <w:sz w:val="24"/>
                <w:szCs w:val="24"/>
              </w:rPr>
            </w:pPr>
            <w:r w:rsidRPr="003249A9">
              <w:rPr>
                <w:rFonts w:eastAsia="Calibri" w:cs="Times New Roman"/>
                <w:b/>
                <w:bCs/>
                <w:color w:val="0070C0"/>
                <w:sz w:val="24"/>
                <w:szCs w:val="24"/>
              </w:rPr>
              <w:t>An Exemplary Council</w:t>
            </w:r>
          </w:p>
        </w:tc>
      </w:tr>
      <w:tr w:rsidR="00511E98" w14:paraId="608B5E40" w14:textId="77777777" w:rsidTr="00D338A7">
        <w:trPr>
          <w:trHeight w:val="506"/>
        </w:trPr>
        <w:tc>
          <w:tcPr>
            <w:tcW w:w="3273" w:type="dxa"/>
            <w:shd w:val="clear" w:color="auto" w:fill="auto"/>
            <w:vAlign w:val="center"/>
          </w:tcPr>
          <w:p w14:paraId="608B5E3A" w14:textId="77777777" w:rsidR="00D338A7" w:rsidRPr="003249A9" w:rsidRDefault="009B0817" w:rsidP="00D338A7">
            <w:pPr>
              <w:widowControl w:val="0"/>
              <w:spacing w:line="256" w:lineRule="auto"/>
              <w:contextualSpacing/>
              <w:outlineLvl w:val="0"/>
              <w:rPr>
                <w:rFonts w:eastAsia="Calibri" w:cs="Times New Roman"/>
              </w:rPr>
            </w:pPr>
            <w:bookmarkStart w:id="19" w:name="_Hlk78461540"/>
            <w:r w:rsidRPr="003249A9">
              <w:rPr>
                <w:rFonts w:eastAsia="Calibri" w:cs="Times New Roman"/>
              </w:rPr>
              <w:t xml:space="preserve">At least 40% of service requests will be received via self-service channels </w:t>
            </w:r>
            <w:bookmarkEnd w:id="19"/>
          </w:p>
        </w:tc>
        <w:tc>
          <w:tcPr>
            <w:tcW w:w="1136" w:type="dxa"/>
            <w:vAlign w:val="center"/>
          </w:tcPr>
          <w:p w14:paraId="608B5E3B"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56" w:type="dxa"/>
            <w:shd w:val="clear" w:color="auto" w:fill="auto"/>
            <w:vAlign w:val="center"/>
          </w:tcPr>
          <w:p w14:paraId="608B5E3C"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40%</w:t>
            </w:r>
          </w:p>
        </w:tc>
        <w:tc>
          <w:tcPr>
            <w:tcW w:w="1417" w:type="dxa"/>
            <w:vAlign w:val="center"/>
          </w:tcPr>
          <w:p w14:paraId="608B5E3D"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32.5%</w:t>
            </w:r>
          </w:p>
        </w:tc>
        <w:tc>
          <w:tcPr>
            <w:tcW w:w="1134" w:type="dxa"/>
            <w:shd w:val="clear" w:color="auto" w:fill="auto"/>
            <w:vAlign w:val="center"/>
          </w:tcPr>
          <w:p w14:paraId="608B5E3E" w14:textId="77777777" w:rsidR="00D338A7" w:rsidRPr="003249A9" w:rsidRDefault="009B0817" w:rsidP="00D338A7">
            <w:pPr>
              <w:widowControl w:val="0"/>
              <w:spacing w:line="256" w:lineRule="auto"/>
              <w:contextualSpacing/>
              <w:jc w:val="center"/>
              <w:outlineLvl w:val="0"/>
              <w:rPr>
                <w:rFonts w:eastAsia="Arial" w:cs="Times New Roman"/>
                <w:lang w:val="en-US"/>
              </w:rPr>
            </w:pPr>
            <w:r w:rsidRPr="003249A9">
              <w:rPr>
                <w:rFonts w:ascii="Wingdings 3" w:eastAsia="Arial" w:hAnsi="Wingdings 3" w:cs="Times New Roman"/>
                <w:color w:val="FF0000"/>
                <w:sz w:val="32"/>
              </w:rPr>
              <w:sym w:font="Wingdings 3" w:char="F070"/>
            </w:r>
          </w:p>
        </w:tc>
        <w:tc>
          <w:tcPr>
            <w:tcW w:w="1277" w:type="dxa"/>
            <w:tcBorders>
              <w:right w:val="single" w:sz="8" w:space="0" w:color="auto"/>
            </w:tcBorders>
            <w:shd w:val="clear" w:color="auto" w:fill="auto"/>
            <w:vAlign w:val="center"/>
          </w:tcPr>
          <w:p w14:paraId="608B5E3F" w14:textId="77777777" w:rsidR="00D338A7" w:rsidRPr="003249A9" w:rsidRDefault="009B0817" w:rsidP="00D338A7">
            <w:pPr>
              <w:widowControl w:val="0"/>
              <w:spacing w:line="256" w:lineRule="auto"/>
              <w:contextualSpacing/>
              <w:jc w:val="center"/>
              <w:outlineLvl w:val="0"/>
              <w:rPr>
                <w:rFonts w:eastAsia="Calibri" w:cs="Times New Roman"/>
                <w:sz w:val="16"/>
                <w:szCs w:val="16"/>
              </w:rPr>
            </w:pPr>
            <w:r w:rsidRPr="003249A9">
              <w:rPr>
                <w:rFonts w:eastAsia="Calibri" w:cs="Times New Roman"/>
                <w:color w:val="00B050"/>
                <w:sz w:val="20"/>
                <w:szCs w:val="20"/>
              </w:rPr>
              <w:t>Better than Q4 2020/21</w:t>
            </w:r>
          </w:p>
        </w:tc>
      </w:tr>
      <w:tr w:rsidR="00511E98" w14:paraId="608B5E47" w14:textId="77777777" w:rsidTr="00D338A7">
        <w:trPr>
          <w:trHeight w:val="506"/>
        </w:trPr>
        <w:tc>
          <w:tcPr>
            <w:tcW w:w="3273" w:type="dxa"/>
            <w:shd w:val="clear" w:color="auto" w:fill="auto"/>
            <w:vAlign w:val="center"/>
          </w:tcPr>
          <w:p w14:paraId="608B5E41" w14:textId="77777777" w:rsidR="00D338A7" w:rsidRPr="003249A9" w:rsidRDefault="009B0817" w:rsidP="00D338A7">
            <w:pPr>
              <w:widowControl w:val="0"/>
              <w:spacing w:line="256" w:lineRule="auto"/>
              <w:contextualSpacing/>
              <w:outlineLvl w:val="0"/>
              <w:rPr>
                <w:rFonts w:eastAsia="Calibri" w:cs="Times New Roman"/>
              </w:rPr>
            </w:pPr>
            <w:bookmarkStart w:id="20" w:name="_Hlk80188723"/>
            <w:r w:rsidRPr="003249A9">
              <w:rPr>
                <w:rFonts w:eastAsia="Calibri" w:cs="Times New Roman"/>
              </w:rPr>
              <w:t>The percentage of households living in fuel poverty will be better than the North West average</w:t>
            </w:r>
          </w:p>
        </w:tc>
        <w:tc>
          <w:tcPr>
            <w:tcW w:w="1136" w:type="dxa"/>
            <w:vAlign w:val="center"/>
          </w:tcPr>
          <w:p w14:paraId="608B5E42"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56" w:type="dxa"/>
            <w:shd w:val="clear" w:color="auto" w:fill="auto"/>
            <w:vAlign w:val="center"/>
          </w:tcPr>
          <w:p w14:paraId="608B5E43"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14.5%</w:t>
            </w:r>
          </w:p>
        </w:tc>
        <w:tc>
          <w:tcPr>
            <w:tcW w:w="1417" w:type="dxa"/>
            <w:vAlign w:val="center"/>
          </w:tcPr>
          <w:p w14:paraId="608B5E44"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10.8%</w:t>
            </w:r>
          </w:p>
        </w:tc>
        <w:tc>
          <w:tcPr>
            <w:tcW w:w="1134" w:type="dxa"/>
            <w:shd w:val="clear" w:color="auto" w:fill="auto"/>
            <w:vAlign w:val="center"/>
          </w:tcPr>
          <w:p w14:paraId="608B5E45" w14:textId="77777777" w:rsidR="00D338A7" w:rsidRPr="003249A9" w:rsidRDefault="009B0817" w:rsidP="00D338A7">
            <w:pPr>
              <w:widowControl w:val="0"/>
              <w:spacing w:line="256" w:lineRule="auto"/>
              <w:contextualSpacing/>
              <w:jc w:val="center"/>
              <w:outlineLvl w:val="0"/>
              <w:rPr>
                <w:rFonts w:ascii="Wingdings 3" w:eastAsia="Arial" w:hAnsi="Wingdings 3" w:cs="Times New Roman"/>
                <w:color w:val="FF0000"/>
                <w:sz w:val="32"/>
              </w:rPr>
            </w:pPr>
            <w:r w:rsidRPr="003249A9">
              <w:rPr>
                <w:rFonts w:ascii="Wingdings" w:eastAsia="Arial" w:hAnsi="Wingdings" w:cs="Times New Roman"/>
                <w:color w:val="00B050"/>
                <w:sz w:val="44"/>
              </w:rPr>
              <w:sym w:font="Wingdings" w:char="F0AB"/>
            </w:r>
          </w:p>
        </w:tc>
        <w:tc>
          <w:tcPr>
            <w:tcW w:w="1277" w:type="dxa"/>
            <w:tcBorders>
              <w:right w:val="single" w:sz="8" w:space="0" w:color="auto"/>
            </w:tcBorders>
            <w:shd w:val="clear" w:color="auto" w:fill="auto"/>
            <w:vAlign w:val="center"/>
          </w:tcPr>
          <w:p w14:paraId="608B5E46" w14:textId="77777777" w:rsidR="00D338A7" w:rsidRPr="003249A9" w:rsidRDefault="009B0817" w:rsidP="00D338A7">
            <w:pPr>
              <w:widowControl w:val="0"/>
              <w:spacing w:line="256" w:lineRule="auto"/>
              <w:contextualSpacing/>
              <w:jc w:val="center"/>
              <w:outlineLvl w:val="0"/>
              <w:rPr>
                <w:rFonts w:eastAsia="Calibri" w:cs="Times New Roman"/>
                <w:color w:val="00B050"/>
                <w:sz w:val="20"/>
                <w:szCs w:val="20"/>
              </w:rPr>
            </w:pPr>
            <w:r w:rsidRPr="003249A9">
              <w:rPr>
                <w:rFonts w:eastAsia="Calibri" w:cs="Times New Roman"/>
                <w:color w:val="FF0000"/>
                <w:sz w:val="20"/>
                <w:szCs w:val="20"/>
              </w:rPr>
              <w:t>Worse than Q1 2020/21</w:t>
            </w:r>
          </w:p>
        </w:tc>
      </w:tr>
      <w:bookmarkEnd w:id="20"/>
      <w:tr w:rsidR="00511E98" w14:paraId="608B5E49" w14:textId="77777777" w:rsidTr="00D338A7">
        <w:trPr>
          <w:trHeight w:val="506"/>
        </w:trPr>
        <w:tc>
          <w:tcPr>
            <w:tcW w:w="9493" w:type="dxa"/>
            <w:gridSpan w:val="6"/>
            <w:tcBorders>
              <w:right w:val="single" w:sz="8" w:space="0" w:color="auto"/>
            </w:tcBorders>
            <w:shd w:val="clear" w:color="auto" w:fill="auto"/>
            <w:vAlign w:val="center"/>
          </w:tcPr>
          <w:p w14:paraId="608B5E48" w14:textId="77777777" w:rsidR="00D338A7" w:rsidRPr="003249A9" w:rsidRDefault="009B0817" w:rsidP="00D338A7">
            <w:pPr>
              <w:widowControl w:val="0"/>
              <w:spacing w:line="256" w:lineRule="auto"/>
              <w:contextualSpacing/>
              <w:outlineLvl w:val="0"/>
              <w:rPr>
                <w:rFonts w:eastAsia="Calibri" w:cs="Times New Roman"/>
                <w:sz w:val="16"/>
                <w:szCs w:val="16"/>
              </w:rPr>
            </w:pPr>
            <w:r w:rsidRPr="003249A9">
              <w:rPr>
                <w:rFonts w:eastAsia="Calibri" w:cs="Times New Roman"/>
                <w:b/>
                <w:bCs/>
                <w:color w:val="FF0000"/>
                <w:sz w:val="24"/>
              </w:rPr>
              <w:t>Thriving Communities</w:t>
            </w:r>
          </w:p>
        </w:tc>
      </w:tr>
      <w:tr w:rsidR="00511E98" w14:paraId="608B5E51" w14:textId="77777777" w:rsidTr="00D338A7">
        <w:trPr>
          <w:trHeight w:val="506"/>
        </w:trPr>
        <w:tc>
          <w:tcPr>
            <w:tcW w:w="3273" w:type="dxa"/>
            <w:shd w:val="clear" w:color="auto" w:fill="auto"/>
            <w:vAlign w:val="center"/>
          </w:tcPr>
          <w:p w14:paraId="608B5E4A" w14:textId="77777777" w:rsidR="00D338A7" w:rsidRPr="003249A9" w:rsidRDefault="009B0817" w:rsidP="00D338A7">
            <w:pPr>
              <w:widowControl w:val="0"/>
              <w:spacing w:line="256" w:lineRule="auto"/>
              <w:contextualSpacing/>
              <w:outlineLvl w:val="0"/>
              <w:rPr>
                <w:rFonts w:eastAsia="Calibri" w:cs="Times New Roman"/>
              </w:rPr>
            </w:pPr>
            <w:bookmarkStart w:id="21" w:name="_Hlk64544405"/>
            <w:r w:rsidRPr="003249A9">
              <w:rPr>
                <w:rFonts w:eastAsia="Calibri" w:cs="Times New Roman"/>
              </w:rPr>
              <w:t>Number of meals provided to school age children through holiday hunger offer</w:t>
            </w:r>
          </w:p>
        </w:tc>
        <w:tc>
          <w:tcPr>
            <w:tcW w:w="1136" w:type="dxa"/>
            <w:tcBorders>
              <w:top w:val="single" w:sz="8" w:space="0" w:color="auto"/>
              <w:left w:val="single" w:sz="8" w:space="0" w:color="auto"/>
              <w:bottom w:val="single" w:sz="8" w:space="0" w:color="auto"/>
              <w:right w:val="single" w:sz="8" w:space="0" w:color="auto"/>
            </w:tcBorders>
            <w:vAlign w:val="center"/>
          </w:tcPr>
          <w:p w14:paraId="608B5E4B"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56" w:type="dxa"/>
            <w:shd w:val="clear" w:color="auto" w:fill="auto"/>
            <w:vAlign w:val="center"/>
          </w:tcPr>
          <w:p w14:paraId="608B5E4C"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To be baselined 2021/22</w:t>
            </w:r>
          </w:p>
        </w:tc>
        <w:tc>
          <w:tcPr>
            <w:tcW w:w="1417" w:type="dxa"/>
            <w:shd w:val="clear" w:color="auto" w:fill="auto"/>
            <w:vAlign w:val="center"/>
          </w:tcPr>
          <w:p w14:paraId="608B5E4D"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10823</w:t>
            </w:r>
          </w:p>
          <w:p w14:paraId="608B5E4E" w14:textId="77777777" w:rsidR="00D338A7" w:rsidRPr="003249A9" w:rsidRDefault="009B0817" w:rsidP="00D338A7">
            <w:pPr>
              <w:widowControl w:val="0"/>
              <w:spacing w:line="256" w:lineRule="auto"/>
              <w:contextualSpacing/>
              <w:jc w:val="center"/>
              <w:outlineLvl w:val="0"/>
              <w:rPr>
                <w:rFonts w:eastAsia="Calibri" w:cs="Times New Roman"/>
                <w:b/>
                <w:bCs/>
                <w:color w:val="FF0000"/>
              </w:rPr>
            </w:pPr>
            <w:r w:rsidRPr="003249A9">
              <w:rPr>
                <w:rFonts w:eastAsia="Calibri" w:cs="Times New Roman"/>
                <w:b/>
                <w:bCs/>
                <w:sz w:val="20"/>
                <w:szCs w:val="20"/>
              </w:rPr>
              <w:t>In Quarter</w:t>
            </w:r>
          </w:p>
        </w:tc>
        <w:tc>
          <w:tcPr>
            <w:tcW w:w="1134" w:type="dxa"/>
            <w:tcBorders>
              <w:top w:val="single" w:sz="8" w:space="0" w:color="auto"/>
              <w:left w:val="single" w:sz="8" w:space="0" w:color="auto"/>
              <w:bottom w:val="single" w:sz="8" w:space="0" w:color="auto"/>
              <w:right w:val="single" w:sz="8" w:space="0" w:color="auto"/>
            </w:tcBorders>
            <w:vAlign w:val="center"/>
          </w:tcPr>
          <w:p w14:paraId="608B5E4F" w14:textId="77777777" w:rsidR="00D338A7" w:rsidRPr="003249A9" w:rsidRDefault="009B0817" w:rsidP="00D338A7">
            <w:pPr>
              <w:widowControl w:val="0"/>
              <w:spacing w:line="256" w:lineRule="auto"/>
              <w:contextualSpacing/>
              <w:jc w:val="center"/>
              <w:outlineLvl w:val="0"/>
              <w:rPr>
                <w:rFonts w:eastAsia="Arial" w:cs="Times New Roman"/>
                <w:lang w:val="en-US"/>
              </w:rPr>
            </w:pPr>
            <w:r w:rsidRPr="003249A9">
              <w:rPr>
                <w:rFonts w:eastAsia="Arial" w:cs="Times New Roman"/>
                <w:lang w:val="en-US"/>
              </w:rPr>
              <w:t>-</w:t>
            </w:r>
          </w:p>
        </w:tc>
        <w:tc>
          <w:tcPr>
            <w:tcW w:w="1277" w:type="dxa"/>
            <w:tcBorders>
              <w:top w:val="single" w:sz="8" w:space="0" w:color="auto"/>
              <w:left w:val="single" w:sz="8" w:space="0" w:color="auto"/>
              <w:bottom w:val="single" w:sz="8" w:space="0" w:color="auto"/>
              <w:right w:val="single" w:sz="8" w:space="0" w:color="auto"/>
            </w:tcBorders>
            <w:vAlign w:val="center"/>
          </w:tcPr>
          <w:p w14:paraId="608B5E50" w14:textId="77777777" w:rsidR="00D338A7" w:rsidRPr="003249A9" w:rsidRDefault="009B0817" w:rsidP="00D338A7">
            <w:pPr>
              <w:widowControl w:val="0"/>
              <w:spacing w:line="256" w:lineRule="auto"/>
              <w:contextualSpacing/>
              <w:jc w:val="center"/>
              <w:outlineLvl w:val="0"/>
              <w:rPr>
                <w:rFonts w:eastAsia="Calibri" w:cs="Times New Roman"/>
                <w:sz w:val="16"/>
                <w:szCs w:val="16"/>
              </w:rPr>
            </w:pPr>
            <w:r w:rsidRPr="003249A9">
              <w:rPr>
                <w:rFonts w:eastAsia="Calibri" w:cs="Times New Roman"/>
                <w:sz w:val="16"/>
                <w:szCs w:val="16"/>
              </w:rPr>
              <w:t>-</w:t>
            </w:r>
          </w:p>
        </w:tc>
      </w:tr>
      <w:tr w:rsidR="00511E98" w14:paraId="608B5E58" w14:textId="77777777" w:rsidTr="00D338A7">
        <w:trPr>
          <w:trHeight w:val="506"/>
        </w:trPr>
        <w:tc>
          <w:tcPr>
            <w:tcW w:w="3273" w:type="dxa"/>
            <w:shd w:val="clear" w:color="auto" w:fill="auto"/>
            <w:vAlign w:val="center"/>
          </w:tcPr>
          <w:p w14:paraId="608B5E52" w14:textId="77777777" w:rsidR="00D338A7" w:rsidRPr="003249A9" w:rsidRDefault="009B0817" w:rsidP="00D338A7">
            <w:pPr>
              <w:widowControl w:val="0"/>
              <w:spacing w:line="256" w:lineRule="auto"/>
              <w:contextualSpacing/>
              <w:outlineLvl w:val="0"/>
              <w:rPr>
                <w:rFonts w:eastAsia="Calibri" w:cs="Times New Roman"/>
              </w:rPr>
            </w:pPr>
            <w:bookmarkStart w:id="22" w:name="_Hlk78458669"/>
            <w:r w:rsidRPr="003249A9">
              <w:rPr>
                <w:rFonts w:eastAsia="Arial"/>
              </w:rPr>
              <w:t>Number of residents benefiting from opportunities created by the communities’ team</w:t>
            </w:r>
          </w:p>
        </w:tc>
        <w:tc>
          <w:tcPr>
            <w:tcW w:w="1136" w:type="dxa"/>
            <w:tcBorders>
              <w:top w:val="single" w:sz="8" w:space="0" w:color="auto"/>
              <w:left w:val="single" w:sz="8" w:space="0" w:color="auto"/>
              <w:bottom w:val="single" w:sz="8" w:space="0" w:color="auto"/>
              <w:right w:val="single" w:sz="8" w:space="0" w:color="auto"/>
            </w:tcBorders>
            <w:vAlign w:val="center"/>
          </w:tcPr>
          <w:p w14:paraId="608B5E53"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56" w:type="dxa"/>
            <w:shd w:val="clear" w:color="auto" w:fill="auto"/>
            <w:vAlign w:val="center"/>
          </w:tcPr>
          <w:p w14:paraId="608B5E54"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To be baselined 2021/22</w:t>
            </w:r>
          </w:p>
        </w:tc>
        <w:tc>
          <w:tcPr>
            <w:tcW w:w="1417" w:type="dxa"/>
            <w:shd w:val="clear" w:color="auto" w:fill="auto"/>
            <w:vAlign w:val="center"/>
          </w:tcPr>
          <w:p w14:paraId="608B5E55" w14:textId="77777777" w:rsidR="00D338A7" w:rsidRPr="003249A9" w:rsidRDefault="009B0817" w:rsidP="00D338A7">
            <w:pPr>
              <w:widowControl w:val="0"/>
              <w:spacing w:line="256" w:lineRule="auto"/>
              <w:contextualSpacing/>
              <w:jc w:val="center"/>
              <w:outlineLvl w:val="0"/>
              <w:rPr>
                <w:rFonts w:eastAsia="Calibri" w:cs="Times New Roman"/>
                <w:b/>
                <w:bCs/>
              </w:rPr>
            </w:pPr>
            <w:r>
              <w:rPr>
                <w:rFonts w:eastAsia="Calibri" w:cs="Times New Roman"/>
                <w:b/>
                <w:bCs/>
                <w:vertAlign w:val="superscript"/>
              </w:rPr>
              <w:footnoteReference w:id="1"/>
            </w:r>
            <w:r w:rsidRPr="003249A9">
              <w:rPr>
                <w:rFonts w:eastAsia="Calibri" w:cs="Times New Roman"/>
                <w:b/>
                <w:bCs/>
              </w:rPr>
              <w:t>4314</w:t>
            </w:r>
          </w:p>
        </w:tc>
        <w:tc>
          <w:tcPr>
            <w:tcW w:w="1134" w:type="dxa"/>
            <w:tcBorders>
              <w:top w:val="single" w:sz="8" w:space="0" w:color="auto"/>
              <w:left w:val="single" w:sz="8" w:space="0" w:color="auto"/>
              <w:bottom w:val="single" w:sz="8" w:space="0" w:color="auto"/>
              <w:right w:val="single" w:sz="8" w:space="0" w:color="auto"/>
            </w:tcBorders>
            <w:vAlign w:val="center"/>
          </w:tcPr>
          <w:p w14:paraId="608B5E56" w14:textId="77777777" w:rsidR="00D338A7" w:rsidRPr="003249A9" w:rsidRDefault="009B0817" w:rsidP="00D338A7">
            <w:pPr>
              <w:widowControl w:val="0"/>
              <w:spacing w:line="256" w:lineRule="auto"/>
              <w:contextualSpacing/>
              <w:jc w:val="center"/>
              <w:outlineLvl w:val="0"/>
              <w:rPr>
                <w:rFonts w:eastAsia="Arial" w:cs="Times New Roman"/>
                <w:lang w:val="en-US"/>
              </w:rPr>
            </w:pPr>
            <w:r w:rsidRPr="003249A9">
              <w:rPr>
                <w:rFonts w:eastAsia="Arial" w:cs="Times New Roman"/>
                <w:lang w:val="en-US"/>
              </w:rPr>
              <w:t>-</w:t>
            </w:r>
          </w:p>
        </w:tc>
        <w:tc>
          <w:tcPr>
            <w:tcW w:w="1277" w:type="dxa"/>
            <w:tcBorders>
              <w:top w:val="single" w:sz="8" w:space="0" w:color="auto"/>
              <w:left w:val="single" w:sz="8" w:space="0" w:color="auto"/>
              <w:bottom w:val="single" w:sz="8" w:space="0" w:color="auto"/>
              <w:right w:val="single" w:sz="8" w:space="0" w:color="auto"/>
            </w:tcBorders>
            <w:vAlign w:val="center"/>
          </w:tcPr>
          <w:p w14:paraId="608B5E57" w14:textId="77777777" w:rsidR="00D338A7" w:rsidRPr="003249A9" w:rsidRDefault="009B0817" w:rsidP="00D338A7">
            <w:pPr>
              <w:widowControl w:val="0"/>
              <w:spacing w:line="256" w:lineRule="auto"/>
              <w:contextualSpacing/>
              <w:jc w:val="center"/>
              <w:outlineLvl w:val="0"/>
              <w:rPr>
                <w:rFonts w:eastAsia="Arial" w:cs="Times New Roman"/>
                <w:lang w:val="en-US"/>
              </w:rPr>
            </w:pPr>
            <w:r w:rsidRPr="003249A9">
              <w:rPr>
                <w:rFonts w:eastAsia="Arial" w:cs="Times New Roman"/>
                <w:lang w:val="en-US"/>
              </w:rPr>
              <w:t>-</w:t>
            </w:r>
          </w:p>
        </w:tc>
      </w:tr>
      <w:bookmarkEnd w:id="22"/>
      <w:tr w:rsidR="00511E98" w14:paraId="608B5E5A" w14:textId="77777777" w:rsidTr="00D338A7">
        <w:trPr>
          <w:trHeight w:val="506"/>
        </w:trPr>
        <w:tc>
          <w:tcPr>
            <w:tcW w:w="9493" w:type="dxa"/>
            <w:gridSpan w:val="6"/>
            <w:tcBorders>
              <w:right w:val="single" w:sz="8" w:space="0" w:color="auto"/>
            </w:tcBorders>
            <w:shd w:val="clear" w:color="auto" w:fill="auto"/>
            <w:vAlign w:val="center"/>
          </w:tcPr>
          <w:p w14:paraId="608B5E59" w14:textId="77777777" w:rsidR="00D338A7" w:rsidRPr="003249A9" w:rsidRDefault="009B0817" w:rsidP="00D338A7">
            <w:pPr>
              <w:widowControl w:val="0"/>
              <w:spacing w:line="256" w:lineRule="auto"/>
              <w:contextualSpacing/>
              <w:outlineLvl w:val="0"/>
              <w:rPr>
                <w:rFonts w:eastAsia="Calibri" w:cs="Times New Roman"/>
                <w:b/>
                <w:bCs/>
                <w:color w:val="7030A0"/>
                <w:sz w:val="24"/>
              </w:rPr>
            </w:pPr>
            <w:r w:rsidRPr="003249A9">
              <w:rPr>
                <w:rFonts w:eastAsia="Calibri" w:cs="Times New Roman"/>
                <w:b/>
                <w:bCs/>
                <w:color w:val="7030A0"/>
                <w:sz w:val="24"/>
              </w:rPr>
              <w:t>A fair local economy that works for everyone</w:t>
            </w:r>
          </w:p>
        </w:tc>
      </w:tr>
      <w:tr w:rsidR="00511E98" w14:paraId="608B5E61" w14:textId="77777777" w:rsidTr="00D338A7">
        <w:trPr>
          <w:trHeight w:val="630"/>
        </w:trPr>
        <w:tc>
          <w:tcPr>
            <w:tcW w:w="3273" w:type="dxa"/>
            <w:shd w:val="clear" w:color="auto" w:fill="auto"/>
            <w:vAlign w:val="center"/>
          </w:tcPr>
          <w:p w14:paraId="608B5E5B"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 16 -17year olds not in education or training (NEET)</w:t>
            </w:r>
          </w:p>
        </w:tc>
        <w:tc>
          <w:tcPr>
            <w:tcW w:w="1136" w:type="dxa"/>
            <w:tcBorders>
              <w:top w:val="single" w:sz="8" w:space="0" w:color="auto"/>
              <w:left w:val="single" w:sz="8" w:space="0" w:color="auto"/>
              <w:bottom w:val="single" w:sz="8" w:space="0" w:color="auto"/>
              <w:right w:val="single" w:sz="8" w:space="0" w:color="auto"/>
            </w:tcBorders>
            <w:vAlign w:val="center"/>
          </w:tcPr>
          <w:p w14:paraId="608B5E5C"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56" w:type="dxa"/>
            <w:tcBorders>
              <w:top w:val="single" w:sz="8" w:space="0" w:color="auto"/>
              <w:left w:val="single" w:sz="8" w:space="0" w:color="auto"/>
              <w:bottom w:val="single" w:sz="8" w:space="0" w:color="auto"/>
              <w:right w:val="single" w:sz="8" w:space="0" w:color="auto"/>
            </w:tcBorders>
            <w:vAlign w:val="center"/>
          </w:tcPr>
          <w:p w14:paraId="608B5E5D"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3.5%</w:t>
            </w:r>
          </w:p>
        </w:tc>
        <w:tc>
          <w:tcPr>
            <w:tcW w:w="1417" w:type="dxa"/>
            <w:tcBorders>
              <w:top w:val="single" w:sz="8" w:space="0" w:color="auto"/>
              <w:left w:val="single" w:sz="8" w:space="0" w:color="auto"/>
              <w:bottom w:val="single" w:sz="8" w:space="0" w:color="auto"/>
              <w:right w:val="single" w:sz="8" w:space="0" w:color="auto"/>
            </w:tcBorders>
            <w:vAlign w:val="center"/>
          </w:tcPr>
          <w:p w14:paraId="608B5E5E"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3.4%</w:t>
            </w:r>
          </w:p>
        </w:tc>
        <w:tc>
          <w:tcPr>
            <w:tcW w:w="1134" w:type="dxa"/>
            <w:tcBorders>
              <w:top w:val="single" w:sz="8" w:space="0" w:color="auto"/>
              <w:left w:val="single" w:sz="8" w:space="0" w:color="auto"/>
              <w:bottom w:val="single" w:sz="8" w:space="0" w:color="auto"/>
              <w:right w:val="single" w:sz="8" w:space="0" w:color="auto"/>
            </w:tcBorders>
            <w:vAlign w:val="center"/>
          </w:tcPr>
          <w:p w14:paraId="608B5E5F" w14:textId="77777777" w:rsidR="00D338A7" w:rsidRPr="003249A9" w:rsidRDefault="009B0817" w:rsidP="00D338A7">
            <w:pPr>
              <w:widowControl w:val="0"/>
              <w:spacing w:line="256" w:lineRule="auto"/>
              <w:contextualSpacing/>
              <w:jc w:val="center"/>
              <w:outlineLvl w:val="0"/>
              <w:rPr>
                <w:rFonts w:ascii="Wingdings" w:eastAsia="Arial" w:hAnsi="Wingdings" w:cs="Times New Roman"/>
                <w:color w:val="00B050"/>
                <w:sz w:val="44"/>
              </w:rPr>
            </w:pPr>
            <w:r w:rsidRPr="003249A9">
              <w:rPr>
                <w:rFonts w:ascii="Wingdings" w:eastAsia="Arial" w:hAnsi="Wingdings" w:cs="Times New Roman"/>
                <w:color w:val="00B050"/>
                <w:sz w:val="44"/>
              </w:rPr>
              <w:sym w:font="Wingdings" w:char="F0AB"/>
            </w:r>
          </w:p>
        </w:tc>
        <w:tc>
          <w:tcPr>
            <w:tcW w:w="1277" w:type="dxa"/>
            <w:tcBorders>
              <w:top w:val="single" w:sz="8" w:space="0" w:color="auto"/>
              <w:left w:val="single" w:sz="8" w:space="0" w:color="auto"/>
              <w:bottom w:val="single" w:sz="8" w:space="0" w:color="auto"/>
              <w:right w:val="single" w:sz="8" w:space="0" w:color="auto"/>
            </w:tcBorders>
            <w:vAlign w:val="center"/>
          </w:tcPr>
          <w:p w14:paraId="608B5E60" w14:textId="77777777" w:rsidR="00D338A7" w:rsidRPr="003249A9" w:rsidRDefault="009B0817"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00B050"/>
                <w:sz w:val="20"/>
                <w:szCs w:val="20"/>
              </w:rPr>
              <w:t>Better than Q1 2021/20</w:t>
            </w:r>
          </w:p>
        </w:tc>
      </w:tr>
      <w:tr w:rsidR="00511E98" w14:paraId="608B5E63" w14:textId="77777777" w:rsidTr="00D338A7">
        <w:trPr>
          <w:trHeight w:val="630"/>
        </w:trPr>
        <w:tc>
          <w:tcPr>
            <w:tcW w:w="9493" w:type="dxa"/>
            <w:gridSpan w:val="6"/>
            <w:tcBorders>
              <w:right w:val="single" w:sz="8" w:space="0" w:color="auto"/>
            </w:tcBorders>
            <w:shd w:val="clear" w:color="auto" w:fill="auto"/>
            <w:vAlign w:val="center"/>
          </w:tcPr>
          <w:p w14:paraId="608B5E62" w14:textId="77777777" w:rsidR="00D338A7" w:rsidRPr="003249A9" w:rsidRDefault="009B0817" w:rsidP="00D338A7">
            <w:pPr>
              <w:widowControl w:val="0"/>
              <w:spacing w:line="256" w:lineRule="auto"/>
              <w:contextualSpacing/>
              <w:outlineLvl w:val="0"/>
              <w:rPr>
                <w:rFonts w:eastAsia="Calibri" w:cs="Times New Roman"/>
                <w:b/>
                <w:bCs/>
                <w:color w:val="00B050"/>
              </w:rPr>
            </w:pPr>
            <w:r w:rsidRPr="003249A9">
              <w:rPr>
                <w:rFonts w:eastAsia="Calibri" w:cs="Times New Roman"/>
                <w:b/>
                <w:bCs/>
                <w:color w:val="00B050"/>
                <w:sz w:val="24"/>
              </w:rPr>
              <w:t>Good homes green spaces healthy places</w:t>
            </w:r>
          </w:p>
        </w:tc>
      </w:tr>
      <w:tr w:rsidR="00511E98" w14:paraId="608B5E6B" w14:textId="77777777" w:rsidTr="00D338A7">
        <w:trPr>
          <w:trHeight w:val="701"/>
        </w:trPr>
        <w:tc>
          <w:tcPr>
            <w:tcW w:w="3273" w:type="dxa"/>
            <w:shd w:val="clear" w:color="auto" w:fill="auto"/>
            <w:vAlign w:val="center"/>
          </w:tcPr>
          <w:p w14:paraId="608B5E64" w14:textId="77777777" w:rsidR="00D338A7" w:rsidRPr="003249A9" w:rsidRDefault="009B0817" w:rsidP="00D338A7">
            <w:pPr>
              <w:widowControl w:val="0"/>
              <w:spacing w:line="256" w:lineRule="auto"/>
              <w:contextualSpacing/>
              <w:outlineLvl w:val="0"/>
              <w:rPr>
                <w:rFonts w:eastAsia="Calibri" w:cs="Times New Roman"/>
              </w:rPr>
            </w:pPr>
            <w:bookmarkStart w:id="23" w:name="_Hlk78797100"/>
            <w:r w:rsidRPr="003249A9">
              <w:rPr>
                <w:rFonts w:eastAsia="Calibri" w:cs="Times New Roman"/>
              </w:rPr>
              <w:t xml:space="preserve">27,500 Trees will be planted in the borough this year </w:t>
            </w:r>
            <w:bookmarkEnd w:id="23"/>
            <w:r w:rsidRPr="003249A9">
              <w:rPr>
                <w:rFonts w:eastAsia="Calibri" w:cs="Times New Roman"/>
              </w:rPr>
              <w:t>(Cumulative)</w:t>
            </w:r>
          </w:p>
        </w:tc>
        <w:tc>
          <w:tcPr>
            <w:tcW w:w="1136" w:type="dxa"/>
            <w:tcBorders>
              <w:top w:val="single" w:sz="8" w:space="0" w:color="auto"/>
              <w:left w:val="single" w:sz="8" w:space="0" w:color="auto"/>
              <w:bottom w:val="single" w:sz="8" w:space="0" w:color="auto"/>
              <w:right w:val="single" w:sz="8" w:space="0" w:color="auto"/>
            </w:tcBorders>
            <w:vAlign w:val="center"/>
          </w:tcPr>
          <w:p w14:paraId="608B5E65"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56" w:type="dxa"/>
            <w:shd w:val="clear" w:color="auto" w:fill="auto"/>
            <w:vAlign w:val="center"/>
          </w:tcPr>
          <w:p w14:paraId="608B5E66"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27,500</w:t>
            </w:r>
          </w:p>
          <w:p w14:paraId="608B5E67"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(Annual)</w:t>
            </w:r>
          </w:p>
        </w:tc>
        <w:tc>
          <w:tcPr>
            <w:tcW w:w="1417" w:type="dxa"/>
            <w:shd w:val="clear" w:color="auto" w:fill="auto"/>
            <w:vAlign w:val="center"/>
          </w:tcPr>
          <w:p w14:paraId="608B5E68" w14:textId="77777777" w:rsidR="00D338A7" w:rsidRPr="003249A9" w:rsidRDefault="009B0817" w:rsidP="00D338A7">
            <w:pPr>
              <w:widowControl w:val="0"/>
              <w:spacing w:line="256" w:lineRule="auto"/>
              <w:contextualSpacing/>
              <w:jc w:val="center"/>
              <w:outlineLvl w:val="0"/>
              <w:rPr>
                <w:rFonts w:eastAsia="Calibri" w:cs="Times New Roman"/>
                <w:b/>
                <w:bCs/>
              </w:rPr>
            </w:pPr>
            <w:r>
              <w:rPr>
                <w:rFonts w:eastAsia="Calibri" w:cs="Times New Roman"/>
                <w:b/>
                <w:bCs/>
                <w:vertAlign w:val="superscript"/>
              </w:rPr>
              <w:footnoteReference w:id="2"/>
            </w:r>
            <w:r w:rsidRPr="003249A9">
              <w:rPr>
                <w:rFonts w:eastAsia="Calibri" w:cs="Times New Roman"/>
                <w:b/>
                <w:bCs/>
              </w:rPr>
              <w:t>0</w:t>
            </w:r>
          </w:p>
        </w:tc>
        <w:tc>
          <w:tcPr>
            <w:tcW w:w="1134" w:type="dxa"/>
            <w:tcBorders>
              <w:top w:val="single" w:sz="8" w:space="0" w:color="auto"/>
              <w:left w:val="single" w:sz="8" w:space="0" w:color="auto"/>
              <w:bottom w:val="single" w:sz="8" w:space="0" w:color="auto"/>
              <w:right w:val="single" w:sz="8" w:space="0" w:color="auto"/>
            </w:tcBorders>
            <w:vAlign w:val="center"/>
          </w:tcPr>
          <w:p w14:paraId="608B5E69" w14:textId="77777777" w:rsidR="00D338A7" w:rsidRPr="003249A9" w:rsidRDefault="009B0817" w:rsidP="00D338A7">
            <w:pPr>
              <w:widowControl w:val="0"/>
              <w:spacing w:line="256" w:lineRule="auto"/>
              <w:contextualSpacing/>
              <w:jc w:val="center"/>
              <w:outlineLvl w:val="0"/>
              <w:rPr>
                <w:rFonts w:ascii="Wingdings" w:eastAsia="Arial" w:hAnsi="Wingdings" w:cs="Times New Roman"/>
                <w:color w:val="00B050"/>
                <w:sz w:val="44"/>
              </w:rPr>
            </w:pPr>
            <w:r w:rsidRPr="003249A9">
              <w:rPr>
                <w:rFonts w:ascii="Wingdings" w:eastAsia="Arial" w:hAnsi="Wingdings" w:cs="Times New Roman"/>
                <w:color w:val="00B050"/>
                <w:sz w:val="44"/>
              </w:rPr>
              <w:sym w:font="Wingdings" w:char="F0AB"/>
            </w:r>
          </w:p>
        </w:tc>
        <w:tc>
          <w:tcPr>
            <w:tcW w:w="1277" w:type="dxa"/>
            <w:tcBorders>
              <w:top w:val="single" w:sz="8" w:space="0" w:color="auto"/>
              <w:left w:val="single" w:sz="8" w:space="0" w:color="auto"/>
              <w:bottom w:val="single" w:sz="8" w:space="0" w:color="auto"/>
              <w:right w:val="single" w:sz="8" w:space="0" w:color="auto"/>
            </w:tcBorders>
            <w:vAlign w:val="center"/>
          </w:tcPr>
          <w:p w14:paraId="608B5E6A" w14:textId="77777777" w:rsidR="00D338A7" w:rsidRPr="003249A9" w:rsidRDefault="009B0817"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0070C0"/>
                <w:sz w:val="20"/>
                <w:szCs w:val="20"/>
              </w:rPr>
              <w:t>Same as Q1 2020/21</w:t>
            </w:r>
          </w:p>
        </w:tc>
      </w:tr>
      <w:tr w:rsidR="00511E98" w14:paraId="608B5E73" w14:textId="77777777" w:rsidTr="00D338A7">
        <w:trPr>
          <w:trHeight w:val="506"/>
        </w:trPr>
        <w:tc>
          <w:tcPr>
            <w:tcW w:w="3273" w:type="dxa"/>
            <w:shd w:val="clear" w:color="auto" w:fill="auto"/>
            <w:vAlign w:val="center"/>
          </w:tcPr>
          <w:p w14:paraId="608B5E6C"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The number of people who are prevented from becoming homeless is increased</w:t>
            </w:r>
          </w:p>
        </w:tc>
        <w:tc>
          <w:tcPr>
            <w:tcW w:w="1136" w:type="dxa"/>
            <w:tcBorders>
              <w:top w:val="single" w:sz="8" w:space="0" w:color="auto"/>
              <w:left w:val="single" w:sz="8" w:space="0" w:color="auto"/>
              <w:bottom w:val="single" w:sz="8" w:space="0" w:color="auto"/>
              <w:right w:val="single" w:sz="8" w:space="0" w:color="auto"/>
            </w:tcBorders>
            <w:vAlign w:val="center"/>
          </w:tcPr>
          <w:p w14:paraId="608B5E6D"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56" w:type="dxa"/>
            <w:shd w:val="clear" w:color="auto" w:fill="auto"/>
            <w:vAlign w:val="center"/>
          </w:tcPr>
          <w:p w14:paraId="608B5E6E"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95</w:t>
            </w:r>
          </w:p>
          <w:p w14:paraId="608B5E6F"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sz w:val="20"/>
                <w:szCs w:val="20"/>
              </w:rPr>
              <w:t>(Q1: 2020/21)</w:t>
            </w:r>
          </w:p>
        </w:tc>
        <w:tc>
          <w:tcPr>
            <w:tcW w:w="1417" w:type="dxa"/>
            <w:shd w:val="clear" w:color="auto" w:fill="auto"/>
            <w:vAlign w:val="center"/>
          </w:tcPr>
          <w:p w14:paraId="608B5E70"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8</w:t>
            </w:r>
            <w:r>
              <w:rPr>
                <w:rFonts w:eastAsia="Calibri" w:cs="Times New Roman"/>
                <w:b/>
                <w:bCs/>
              </w:rPr>
              <w:t>6</w:t>
            </w:r>
          </w:p>
        </w:tc>
        <w:tc>
          <w:tcPr>
            <w:tcW w:w="1134" w:type="dxa"/>
            <w:tcBorders>
              <w:top w:val="single" w:sz="8" w:space="0" w:color="auto"/>
              <w:left w:val="single" w:sz="8" w:space="0" w:color="auto"/>
              <w:bottom w:val="single" w:sz="8" w:space="0" w:color="auto"/>
              <w:right w:val="single" w:sz="8" w:space="0" w:color="auto"/>
            </w:tcBorders>
            <w:vAlign w:val="center"/>
          </w:tcPr>
          <w:p w14:paraId="608B5E71" w14:textId="77777777" w:rsidR="00D338A7" w:rsidRPr="003249A9" w:rsidRDefault="009B0817" w:rsidP="00D338A7">
            <w:pPr>
              <w:widowControl w:val="0"/>
              <w:spacing w:line="256" w:lineRule="auto"/>
              <w:contextualSpacing/>
              <w:jc w:val="center"/>
              <w:outlineLvl w:val="0"/>
              <w:rPr>
                <w:rFonts w:ascii="Wingdings" w:eastAsia="Arial" w:hAnsi="Wingdings" w:cs="Times New Roman"/>
                <w:color w:val="00B050"/>
                <w:sz w:val="44"/>
              </w:rPr>
            </w:pPr>
            <w:r w:rsidRPr="003249A9">
              <w:rPr>
                <w:rFonts w:ascii="Wingdings 3" w:eastAsia="Arial" w:hAnsi="Wingdings 3" w:cs="Times New Roman"/>
                <w:color w:val="FF0000"/>
                <w:sz w:val="32"/>
              </w:rPr>
              <w:sym w:font="Wingdings 3" w:char="F070"/>
            </w:r>
          </w:p>
        </w:tc>
        <w:tc>
          <w:tcPr>
            <w:tcW w:w="1277" w:type="dxa"/>
            <w:tcBorders>
              <w:top w:val="single" w:sz="8" w:space="0" w:color="auto"/>
              <w:left w:val="single" w:sz="8" w:space="0" w:color="auto"/>
              <w:bottom w:val="single" w:sz="8" w:space="0" w:color="auto"/>
              <w:right w:val="single" w:sz="8" w:space="0" w:color="auto"/>
            </w:tcBorders>
            <w:vAlign w:val="center"/>
          </w:tcPr>
          <w:p w14:paraId="608B5E72" w14:textId="77777777" w:rsidR="00D338A7" w:rsidRPr="003249A9" w:rsidRDefault="009B0817"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FF0000"/>
                <w:sz w:val="20"/>
                <w:szCs w:val="20"/>
              </w:rPr>
              <w:t>Worse than Q1 2020/21</w:t>
            </w:r>
          </w:p>
        </w:tc>
      </w:tr>
      <w:bookmarkEnd w:id="21"/>
    </w:tbl>
    <w:p w14:paraId="608B5E74" w14:textId="77777777" w:rsidR="00D338A7" w:rsidRPr="003249A9" w:rsidRDefault="00AC69EF" w:rsidP="00D338A7">
      <w:pPr>
        <w:rPr>
          <w:i/>
          <w:iCs/>
        </w:rPr>
      </w:pPr>
    </w:p>
    <w:p w14:paraId="608B5E75" w14:textId="77777777" w:rsidR="00D338A7" w:rsidRPr="003249A9" w:rsidRDefault="00AC69EF" w:rsidP="00D338A7">
      <w:pPr>
        <w:rPr>
          <w:i/>
          <w:iCs/>
        </w:rPr>
      </w:pPr>
    </w:p>
    <w:p w14:paraId="608B5E76" w14:textId="77777777" w:rsidR="00D338A7" w:rsidRPr="003249A9" w:rsidRDefault="00AC69EF" w:rsidP="00D338A7">
      <w:pPr>
        <w:rPr>
          <w:i/>
          <w:iCs/>
        </w:rPr>
      </w:pPr>
    </w:p>
    <w:p w14:paraId="608B5E77" w14:textId="77777777" w:rsidR="00D338A7" w:rsidRPr="003249A9" w:rsidRDefault="00AC69EF" w:rsidP="00D338A7">
      <w:pPr>
        <w:rPr>
          <w:i/>
          <w:iCs/>
        </w:rPr>
      </w:pPr>
    </w:p>
    <w:p w14:paraId="608B5E78" w14:textId="77777777" w:rsidR="00D338A7" w:rsidRPr="003249A9" w:rsidRDefault="009B0817" w:rsidP="00D338A7">
      <w:pPr>
        <w:spacing w:after="100" w:afterAutospacing="1" w:line="240" w:lineRule="auto"/>
        <w:ind w:left="-851"/>
        <w:outlineLvl w:val="1"/>
        <w:rPr>
          <w:rFonts w:asciiTheme="majorHAnsi" w:eastAsia="Times New Roman" w:hAnsiTheme="majorHAnsi" w:cstheme="majorHAnsi"/>
          <w:b/>
          <w:bCs/>
          <w:lang w:eastAsia="en-GB"/>
        </w:rPr>
      </w:pPr>
      <w:r w:rsidRPr="003249A9">
        <w:rPr>
          <w:rFonts w:asciiTheme="majorHAnsi" w:eastAsia="Times New Roman" w:hAnsiTheme="majorHAnsi" w:cstheme="majorHAnsi"/>
          <w:b/>
          <w:bCs/>
          <w:lang w:eastAsia="en-GB"/>
        </w:rPr>
        <w:lastRenderedPageBreak/>
        <w:t xml:space="preserve">Appendix </w:t>
      </w:r>
      <w:r w:rsidRPr="003249A9">
        <w:rPr>
          <w:rFonts w:asciiTheme="majorHAnsi" w:eastAsia="Times New Roman" w:hAnsiTheme="majorHAnsi" w:cstheme="majorHAnsi"/>
          <w:b/>
          <w:bCs/>
          <w:szCs w:val="36"/>
          <w:lang w:eastAsia="en-GB"/>
        </w:rPr>
        <w:t>2 – Key Organisational Performance Measures</w:t>
      </w:r>
    </w:p>
    <w:tbl>
      <w:tblPr>
        <w:tblW w:w="1095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4"/>
        <w:gridCol w:w="1134"/>
        <w:gridCol w:w="1276"/>
        <w:gridCol w:w="1418"/>
        <w:gridCol w:w="1134"/>
        <w:gridCol w:w="1319"/>
      </w:tblGrid>
      <w:tr w:rsidR="00511E98" w14:paraId="608B5E80" w14:textId="77777777" w:rsidTr="00D338A7">
        <w:trPr>
          <w:trHeight w:val="271"/>
        </w:trPr>
        <w:tc>
          <w:tcPr>
            <w:tcW w:w="4674" w:type="dxa"/>
            <w:tcBorders>
              <w:top w:val="single" w:sz="8" w:space="0" w:color="auto"/>
              <w:left w:val="single" w:sz="8" w:space="0" w:color="auto"/>
              <w:bottom w:val="single" w:sz="8" w:space="0" w:color="auto"/>
              <w:right w:val="single" w:sz="8" w:space="0" w:color="auto"/>
            </w:tcBorders>
            <w:shd w:val="clear" w:color="auto" w:fill="BFBFBF"/>
            <w:vAlign w:val="center"/>
          </w:tcPr>
          <w:p w14:paraId="608B5E79" w14:textId="77777777" w:rsidR="00D338A7" w:rsidRPr="003249A9" w:rsidRDefault="009B0817" w:rsidP="00D338A7">
            <w:pPr>
              <w:widowControl w:val="0"/>
              <w:jc w:val="center"/>
              <w:outlineLvl w:val="0"/>
              <w:rPr>
                <w:rFonts w:eastAsia="Calibri" w:cs="Times New Roman"/>
                <w:b/>
                <w:bCs/>
              </w:rPr>
            </w:pPr>
            <w:bookmarkStart w:id="24" w:name="_Hlk65236075"/>
            <w:r w:rsidRPr="003249A9">
              <w:rPr>
                <w:rFonts w:eastAsia="Calibri" w:cs="Times New Roman"/>
                <w:b/>
                <w:bCs/>
              </w:rPr>
              <w:t>Indicator Name</w:t>
            </w:r>
          </w:p>
        </w:tc>
        <w:tc>
          <w:tcPr>
            <w:tcW w:w="1134" w:type="dxa"/>
            <w:tcBorders>
              <w:top w:val="single" w:sz="8" w:space="0" w:color="auto"/>
              <w:left w:val="single" w:sz="8" w:space="0" w:color="auto"/>
              <w:bottom w:val="single" w:sz="8" w:space="0" w:color="auto"/>
            </w:tcBorders>
            <w:shd w:val="clear" w:color="auto" w:fill="BFBFBF"/>
            <w:vAlign w:val="center"/>
          </w:tcPr>
          <w:p w14:paraId="608B5E7A" w14:textId="77777777" w:rsidR="00D338A7" w:rsidRPr="003249A9" w:rsidRDefault="009B0817" w:rsidP="00D338A7">
            <w:pPr>
              <w:widowControl w:val="0"/>
              <w:jc w:val="center"/>
              <w:outlineLvl w:val="0"/>
              <w:rPr>
                <w:rFonts w:eastAsia="Calibri" w:cs="Times New Roman"/>
                <w:b/>
                <w:bCs/>
              </w:rPr>
            </w:pPr>
            <w:r w:rsidRPr="003249A9">
              <w:rPr>
                <w:rFonts w:eastAsia="Calibri" w:cs="Times New Roman"/>
                <w:b/>
                <w:bCs/>
              </w:rPr>
              <w:t>Polarity</w:t>
            </w:r>
          </w:p>
        </w:tc>
        <w:tc>
          <w:tcPr>
            <w:tcW w:w="1276" w:type="dxa"/>
            <w:tcBorders>
              <w:top w:val="single" w:sz="8" w:space="0" w:color="auto"/>
              <w:bottom w:val="single" w:sz="8" w:space="0" w:color="auto"/>
            </w:tcBorders>
            <w:shd w:val="clear" w:color="auto" w:fill="BFBFBF"/>
            <w:vAlign w:val="center"/>
          </w:tcPr>
          <w:p w14:paraId="608B5E7B" w14:textId="77777777" w:rsidR="00D338A7" w:rsidRPr="003249A9" w:rsidRDefault="009B0817" w:rsidP="00D338A7">
            <w:pPr>
              <w:widowControl w:val="0"/>
              <w:jc w:val="center"/>
              <w:outlineLvl w:val="0"/>
              <w:rPr>
                <w:rFonts w:eastAsia="Calibri" w:cs="Times New Roman"/>
                <w:b/>
                <w:bCs/>
              </w:rPr>
            </w:pPr>
            <w:r w:rsidRPr="003249A9">
              <w:rPr>
                <w:rFonts w:eastAsia="Calibri" w:cs="Times New Roman"/>
                <w:b/>
                <w:bCs/>
              </w:rPr>
              <w:t xml:space="preserve"> Target</w:t>
            </w:r>
          </w:p>
        </w:tc>
        <w:tc>
          <w:tcPr>
            <w:tcW w:w="1418" w:type="dxa"/>
            <w:tcBorders>
              <w:top w:val="single" w:sz="8" w:space="0" w:color="auto"/>
              <w:bottom w:val="single" w:sz="8" w:space="0" w:color="auto"/>
            </w:tcBorders>
            <w:shd w:val="clear" w:color="auto" w:fill="BFBFBF" w:themeFill="background1" w:themeFillShade="BF"/>
            <w:vAlign w:val="center"/>
          </w:tcPr>
          <w:p w14:paraId="608B5E7C" w14:textId="77777777" w:rsidR="00D338A7" w:rsidRPr="003249A9" w:rsidRDefault="009B0817" w:rsidP="00D338A7">
            <w:pPr>
              <w:widowControl w:val="0"/>
              <w:spacing w:after="0" w:line="240" w:lineRule="auto"/>
              <w:jc w:val="center"/>
              <w:outlineLvl w:val="0"/>
              <w:rPr>
                <w:rFonts w:eastAsia="Calibri" w:cs="Times New Roman"/>
                <w:b/>
                <w:bCs/>
              </w:rPr>
            </w:pPr>
            <w:r w:rsidRPr="003249A9">
              <w:rPr>
                <w:rFonts w:eastAsia="Calibri" w:cs="Times New Roman"/>
                <w:b/>
                <w:bCs/>
              </w:rPr>
              <w:t>Quarter 1</w:t>
            </w:r>
          </w:p>
          <w:p w14:paraId="608B5E7D" w14:textId="77777777" w:rsidR="00D338A7" w:rsidRPr="003249A9" w:rsidRDefault="009B0817" w:rsidP="00D338A7">
            <w:pPr>
              <w:widowControl w:val="0"/>
              <w:spacing w:after="0" w:line="240" w:lineRule="auto"/>
              <w:jc w:val="center"/>
              <w:outlineLvl w:val="0"/>
              <w:rPr>
                <w:rFonts w:eastAsia="Calibri" w:cs="Times New Roman"/>
                <w:b/>
                <w:bCs/>
              </w:rPr>
            </w:pPr>
            <w:r w:rsidRPr="003249A9">
              <w:rPr>
                <w:rFonts w:eastAsia="Calibri" w:cs="Times New Roman"/>
                <w:b/>
                <w:bCs/>
              </w:rPr>
              <w:t>2021/22</w:t>
            </w:r>
          </w:p>
        </w:tc>
        <w:tc>
          <w:tcPr>
            <w:tcW w:w="1134" w:type="dxa"/>
            <w:tcBorders>
              <w:top w:val="single" w:sz="8" w:space="0" w:color="auto"/>
              <w:bottom w:val="single" w:sz="8" w:space="0" w:color="auto"/>
              <w:right w:val="single" w:sz="8" w:space="0" w:color="auto"/>
            </w:tcBorders>
            <w:shd w:val="clear" w:color="auto" w:fill="BFBFBF" w:themeFill="background1" w:themeFillShade="BF"/>
            <w:vAlign w:val="center"/>
          </w:tcPr>
          <w:p w14:paraId="608B5E7E" w14:textId="77777777" w:rsidR="00D338A7" w:rsidRPr="003249A9" w:rsidRDefault="009B0817" w:rsidP="00D338A7">
            <w:pPr>
              <w:widowControl w:val="0"/>
              <w:jc w:val="center"/>
              <w:outlineLvl w:val="0"/>
              <w:rPr>
                <w:rFonts w:eastAsia="Calibri" w:cs="Times New Roman"/>
                <w:b/>
                <w:bCs/>
              </w:rPr>
            </w:pPr>
            <w:r w:rsidRPr="003249A9">
              <w:rPr>
                <w:rFonts w:eastAsia="Calibri" w:cs="Times New Roman"/>
                <w:b/>
                <w:bCs/>
              </w:rPr>
              <w:t>Symbol</w:t>
            </w:r>
          </w:p>
        </w:tc>
        <w:tc>
          <w:tcPr>
            <w:tcW w:w="131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08B5E7F" w14:textId="77777777" w:rsidR="00D338A7" w:rsidRPr="003249A9" w:rsidRDefault="009B0817" w:rsidP="00D338A7">
            <w:pPr>
              <w:widowControl w:val="0"/>
              <w:jc w:val="center"/>
              <w:outlineLvl w:val="0"/>
              <w:rPr>
                <w:rFonts w:eastAsia="Calibri" w:cs="Times New Roman"/>
                <w:b/>
                <w:bCs/>
              </w:rPr>
            </w:pPr>
            <w:r w:rsidRPr="003249A9">
              <w:rPr>
                <w:rFonts w:eastAsia="Calibri" w:cs="Times New Roman"/>
                <w:b/>
                <w:bCs/>
              </w:rPr>
              <w:t>Trend</w:t>
            </w:r>
          </w:p>
        </w:tc>
      </w:tr>
      <w:tr w:rsidR="00511E98" w14:paraId="608B5E87" w14:textId="77777777" w:rsidTr="00D338A7">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81" w14:textId="77777777" w:rsidR="00D338A7" w:rsidRPr="003249A9" w:rsidRDefault="009B0817" w:rsidP="00D338A7">
            <w:pPr>
              <w:widowControl w:val="0"/>
              <w:spacing w:line="256" w:lineRule="auto"/>
              <w:contextualSpacing/>
              <w:outlineLvl w:val="0"/>
              <w:rPr>
                <w:rFonts w:eastAsia="Calibri" w:cs="Times New Roman"/>
              </w:rPr>
            </w:pPr>
            <w:bookmarkStart w:id="25" w:name="_Hlk64544498"/>
            <w:r w:rsidRPr="003249A9">
              <w:rPr>
                <w:rFonts w:eastAsia="Calibri" w:cs="Times New Roman"/>
              </w:rPr>
              <w:t xml:space="preserve">Number of households in temporary accommodation at the end of the quarter  </w:t>
            </w:r>
          </w:p>
        </w:tc>
        <w:tc>
          <w:tcPr>
            <w:tcW w:w="1134" w:type="dxa"/>
            <w:tcBorders>
              <w:top w:val="single" w:sz="8" w:space="0" w:color="auto"/>
              <w:left w:val="single" w:sz="8" w:space="0" w:color="auto"/>
              <w:bottom w:val="single" w:sz="8" w:space="0" w:color="auto"/>
            </w:tcBorders>
            <w:vAlign w:val="center"/>
          </w:tcPr>
          <w:p w14:paraId="608B5E82"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vAlign w:val="center"/>
          </w:tcPr>
          <w:p w14:paraId="608B5E83"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shd w:val="clear" w:color="auto" w:fill="auto"/>
            <w:vAlign w:val="center"/>
          </w:tcPr>
          <w:p w14:paraId="608B5E84"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45</w:t>
            </w:r>
          </w:p>
        </w:tc>
        <w:tc>
          <w:tcPr>
            <w:tcW w:w="1134" w:type="dxa"/>
            <w:tcBorders>
              <w:top w:val="single" w:sz="8" w:space="0" w:color="auto"/>
              <w:bottom w:val="single" w:sz="8" w:space="0" w:color="auto"/>
              <w:right w:val="single" w:sz="8" w:space="0" w:color="auto"/>
            </w:tcBorders>
            <w:vAlign w:val="center"/>
          </w:tcPr>
          <w:p w14:paraId="608B5E85"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5B9BD5"/>
                <w:sz w:val="44"/>
              </w:rPr>
              <w:sym w:font="Wingdings" w:char="F06C"/>
            </w:r>
          </w:p>
        </w:tc>
        <w:tc>
          <w:tcPr>
            <w:tcW w:w="1319" w:type="dxa"/>
            <w:tcBorders>
              <w:top w:val="single" w:sz="8" w:space="0" w:color="auto"/>
              <w:left w:val="single" w:sz="8" w:space="0" w:color="auto"/>
              <w:bottom w:val="single" w:sz="8" w:space="0" w:color="auto"/>
              <w:right w:val="single" w:sz="8" w:space="0" w:color="auto"/>
            </w:tcBorders>
            <w:vAlign w:val="center"/>
          </w:tcPr>
          <w:p w14:paraId="608B5E86"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color w:val="FF0000"/>
                <w:sz w:val="20"/>
                <w:szCs w:val="20"/>
              </w:rPr>
              <w:t>Worse than Q4 2020/21</w:t>
            </w:r>
          </w:p>
        </w:tc>
      </w:tr>
      <w:tr w:rsidR="00511E98" w14:paraId="608B5E8E" w14:textId="77777777" w:rsidTr="00D338A7">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88"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 xml:space="preserve">Number of Accidents reported to Health and Safety from work related activity </w:t>
            </w:r>
          </w:p>
        </w:tc>
        <w:tc>
          <w:tcPr>
            <w:tcW w:w="1134" w:type="dxa"/>
            <w:tcBorders>
              <w:top w:val="single" w:sz="8" w:space="0" w:color="auto"/>
              <w:left w:val="single" w:sz="8" w:space="0" w:color="auto"/>
              <w:bottom w:val="single" w:sz="8" w:space="0" w:color="auto"/>
            </w:tcBorders>
            <w:vAlign w:val="center"/>
          </w:tcPr>
          <w:p w14:paraId="608B5E89"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14:paraId="608B5E8A"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shd w:val="clear" w:color="auto" w:fill="auto"/>
            <w:vAlign w:val="center"/>
          </w:tcPr>
          <w:p w14:paraId="608B5E8B"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15</w:t>
            </w:r>
          </w:p>
        </w:tc>
        <w:tc>
          <w:tcPr>
            <w:tcW w:w="1134" w:type="dxa"/>
            <w:tcBorders>
              <w:top w:val="single" w:sz="8" w:space="0" w:color="auto"/>
              <w:bottom w:val="single" w:sz="8" w:space="0" w:color="auto"/>
              <w:right w:val="single" w:sz="8" w:space="0" w:color="auto"/>
            </w:tcBorders>
            <w:vAlign w:val="center"/>
          </w:tcPr>
          <w:p w14:paraId="608B5E8C"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3" w:eastAsia="Arial" w:hAnsi="Wingdings 3" w:cs="Times New Roman"/>
                <w:color w:val="FF0000"/>
                <w:sz w:val="32"/>
              </w:rPr>
              <w:sym w:font="Wingdings 3" w:char="F070"/>
            </w:r>
          </w:p>
        </w:tc>
        <w:tc>
          <w:tcPr>
            <w:tcW w:w="1319" w:type="dxa"/>
            <w:tcBorders>
              <w:top w:val="single" w:sz="8" w:space="0" w:color="auto"/>
              <w:left w:val="single" w:sz="8" w:space="0" w:color="auto"/>
              <w:bottom w:val="single" w:sz="8" w:space="0" w:color="auto"/>
              <w:right w:val="single" w:sz="8" w:space="0" w:color="auto"/>
            </w:tcBorders>
            <w:vAlign w:val="center"/>
          </w:tcPr>
          <w:p w14:paraId="608B5E8D" w14:textId="77777777" w:rsidR="00D338A7" w:rsidRPr="003249A9" w:rsidRDefault="009B0817" w:rsidP="00D338A7">
            <w:pPr>
              <w:widowControl w:val="0"/>
              <w:spacing w:line="256" w:lineRule="auto"/>
              <w:contextualSpacing/>
              <w:jc w:val="center"/>
              <w:outlineLvl w:val="0"/>
              <w:rPr>
                <w:rFonts w:eastAsia="Calibri" w:cs="Times New Roman"/>
                <w:color w:val="FF0000"/>
                <w:sz w:val="20"/>
                <w:szCs w:val="20"/>
              </w:rPr>
            </w:pPr>
            <w:r w:rsidRPr="003249A9">
              <w:rPr>
                <w:rFonts w:eastAsia="Calibri" w:cs="Times New Roman"/>
                <w:color w:val="FF0000"/>
                <w:sz w:val="20"/>
                <w:szCs w:val="20"/>
              </w:rPr>
              <w:t>Worse than Q4 2020/21</w:t>
            </w:r>
          </w:p>
        </w:tc>
      </w:tr>
      <w:tr w:rsidR="00511E98" w14:paraId="608B5E95" w14:textId="77777777" w:rsidTr="00D338A7">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8F"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No. of accidents reported to Health Safety Executive for work related activity (RIDDOR)</w:t>
            </w:r>
          </w:p>
        </w:tc>
        <w:tc>
          <w:tcPr>
            <w:tcW w:w="1134" w:type="dxa"/>
            <w:tcBorders>
              <w:top w:val="single" w:sz="8" w:space="0" w:color="auto"/>
              <w:left w:val="single" w:sz="8" w:space="0" w:color="auto"/>
              <w:bottom w:val="single" w:sz="8" w:space="0" w:color="auto"/>
            </w:tcBorders>
            <w:vAlign w:val="center"/>
          </w:tcPr>
          <w:p w14:paraId="608B5E90"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14:paraId="608B5E91"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shd w:val="clear" w:color="auto" w:fill="auto"/>
            <w:vAlign w:val="center"/>
          </w:tcPr>
          <w:p w14:paraId="608B5E92"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1</w:t>
            </w:r>
          </w:p>
        </w:tc>
        <w:tc>
          <w:tcPr>
            <w:tcW w:w="1134" w:type="dxa"/>
            <w:tcBorders>
              <w:top w:val="single" w:sz="8" w:space="0" w:color="auto"/>
              <w:bottom w:val="single" w:sz="8" w:space="0" w:color="auto"/>
              <w:right w:val="single" w:sz="8" w:space="0" w:color="auto"/>
            </w:tcBorders>
            <w:shd w:val="clear" w:color="auto" w:fill="auto"/>
            <w:vAlign w:val="center"/>
          </w:tcPr>
          <w:p w14:paraId="608B5E93"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shd w:val="clear" w:color="auto" w:fill="auto"/>
            <w:vAlign w:val="center"/>
          </w:tcPr>
          <w:p w14:paraId="608B5E94" w14:textId="77777777" w:rsidR="00D338A7" w:rsidRPr="003249A9" w:rsidRDefault="009B0817" w:rsidP="00D338A7">
            <w:pPr>
              <w:widowControl w:val="0"/>
              <w:spacing w:line="256" w:lineRule="auto"/>
              <w:contextualSpacing/>
              <w:jc w:val="center"/>
              <w:outlineLvl w:val="0"/>
              <w:rPr>
                <w:rFonts w:eastAsia="Calibri" w:cs="Times New Roman"/>
                <w:color w:val="FFC000"/>
              </w:rPr>
            </w:pPr>
            <w:r w:rsidRPr="003249A9">
              <w:rPr>
                <w:rFonts w:eastAsia="Calibri" w:cs="Times New Roman"/>
                <w:color w:val="0070C0"/>
                <w:sz w:val="20"/>
                <w:szCs w:val="20"/>
              </w:rPr>
              <w:t>Same as Q4 2020/21</w:t>
            </w:r>
          </w:p>
        </w:tc>
      </w:tr>
      <w:tr w:rsidR="00511E98" w14:paraId="608B5E9C" w14:textId="77777777" w:rsidTr="00D338A7">
        <w:trPr>
          <w:trHeight w:val="594"/>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96"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 xml:space="preserve">Number of near miss incidents reported to Health and Safety  </w:t>
            </w:r>
          </w:p>
        </w:tc>
        <w:tc>
          <w:tcPr>
            <w:tcW w:w="1134" w:type="dxa"/>
            <w:tcBorders>
              <w:top w:val="single" w:sz="8" w:space="0" w:color="auto"/>
              <w:left w:val="single" w:sz="8" w:space="0" w:color="auto"/>
              <w:bottom w:val="single" w:sz="8" w:space="0" w:color="auto"/>
            </w:tcBorders>
            <w:vAlign w:val="center"/>
          </w:tcPr>
          <w:p w14:paraId="608B5E97"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14:paraId="608B5E98"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shd w:val="clear" w:color="auto" w:fill="auto"/>
            <w:vAlign w:val="center"/>
          </w:tcPr>
          <w:p w14:paraId="608B5E99"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7</w:t>
            </w:r>
          </w:p>
        </w:tc>
        <w:tc>
          <w:tcPr>
            <w:tcW w:w="1134" w:type="dxa"/>
            <w:tcBorders>
              <w:top w:val="single" w:sz="8" w:space="0" w:color="auto"/>
              <w:bottom w:val="single" w:sz="8" w:space="0" w:color="auto"/>
              <w:right w:val="single" w:sz="8" w:space="0" w:color="auto"/>
            </w:tcBorders>
            <w:vAlign w:val="center"/>
          </w:tcPr>
          <w:p w14:paraId="608B5E9A"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608B5E9B" w14:textId="77777777" w:rsidR="00D338A7" w:rsidRPr="003249A9" w:rsidRDefault="009B0817"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00B050"/>
                <w:sz w:val="20"/>
                <w:szCs w:val="20"/>
              </w:rPr>
              <w:t>Better than Q4 2020/21</w:t>
            </w:r>
          </w:p>
        </w:tc>
      </w:tr>
      <w:tr w:rsidR="00511E98" w14:paraId="608B5EA3" w14:textId="77777777" w:rsidTr="00D338A7">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9D"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The average number of working days from Disabled Facilities grant referral received from LCC to application approved</w:t>
            </w:r>
          </w:p>
        </w:tc>
        <w:tc>
          <w:tcPr>
            <w:tcW w:w="1134" w:type="dxa"/>
            <w:tcBorders>
              <w:top w:val="single" w:sz="8" w:space="0" w:color="auto"/>
              <w:left w:val="single" w:sz="8" w:space="0" w:color="auto"/>
              <w:bottom w:val="single" w:sz="8" w:space="0" w:color="auto"/>
            </w:tcBorders>
            <w:vAlign w:val="center"/>
          </w:tcPr>
          <w:p w14:paraId="608B5E9E"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14:paraId="608B5E9F"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Target to improve trend</w:t>
            </w:r>
          </w:p>
        </w:tc>
        <w:tc>
          <w:tcPr>
            <w:tcW w:w="1418" w:type="dxa"/>
            <w:tcBorders>
              <w:top w:val="single" w:sz="8" w:space="0" w:color="auto"/>
              <w:bottom w:val="single" w:sz="8" w:space="0" w:color="auto"/>
            </w:tcBorders>
            <w:vAlign w:val="center"/>
          </w:tcPr>
          <w:p w14:paraId="608B5EA0"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149</w:t>
            </w:r>
          </w:p>
        </w:tc>
        <w:tc>
          <w:tcPr>
            <w:tcW w:w="1134" w:type="dxa"/>
            <w:tcBorders>
              <w:top w:val="single" w:sz="8" w:space="0" w:color="auto"/>
              <w:bottom w:val="single" w:sz="8" w:space="0" w:color="auto"/>
              <w:right w:val="single" w:sz="8" w:space="0" w:color="auto"/>
            </w:tcBorders>
            <w:vAlign w:val="center"/>
          </w:tcPr>
          <w:p w14:paraId="608B5EA1"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608B5EA2" w14:textId="77777777" w:rsidR="00D338A7" w:rsidRPr="003249A9" w:rsidRDefault="009B0817"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00B050"/>
                <w:sz w:val="20"/>
                <w:szCs w:val="20"/>
              </w:rPr>
              <w:t>Better than Q4 2020/21</w:t>
            </w:r>
          </w:p>
        </w:tc>
      </w:tr>
      <w:tr w:rsidR="00511E98" w14:paraId="608B5EAA" w14:textId="77777777" w:rsidTr="00D338A7">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A4"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 planning applications decided within 13 weeks (major applications)</w:t>
            </w:r>
          </w:p>
        </w:tc>
        <w:tc>
          <w:tcPr>
            <w:tcW w:w="1134" w:type="dxa"/>
            <w:tcBorders>
              <w:top w:val="single" w:sz="8" w:space="0" w:color="auto"/>
              <w:left w:val="single" w:sz="8" w:space="0" w:color="auto"/>
              <w:bottom w:val="single" w:sz="8" w:space="0" w:color="auto"/>
            </w:tcBorders>
            <w:vAlign w:val="center"/>
          </w:tcPr>
          <w:p w14:paraId="608B5EA5"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14:paraId="608B5EA6"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80%</w:t>
            </w:r>
          </w:p>
        </w:tc>
        <w:tc>
          <w:tcPr>
            <w:tcW w:w="1418" w:type="dxa"/>
            <w:tcBorders>
              <w:top w:val="single" w:sz="8" w:space="0" w:color="auto"/>
              <w:bottom w:val="single" w:sz="8" w:space="0" w:color="auto"/>
            </w:tcBorders>
            <w:vAlign w:val="center"/>
          </w:tcPr>
          <w:p w14:paraId="608B5EA7"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75%</w:t>
            </w:r>
          </w:p>
        </w:tc>
        <w:tc>
          <w:tcPr>
            <w:tcW w:w="1134" w:type="dxa"/>
            <w:tcBorders>
              <w:top w:val="single" w:sz="8" w:space="0" w:color="auto"/>
              <w:bottom w:val="single" w:sz="8" w:space="0" w:color="auto"/>
              <w:right w:val="single" w:sz="8" w:space="0" w:color="auto"/>
            </w:tcBorders>
            <w:vAlign w:val="center"/>
          </w:tcPr>
          <w:p w14:paraId="608B5EA8"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3" w:eastAsia="Arial" w:hAnsi="Wingdings 3" w:cs="Times New Roman"/>
                <w:color w:val="FF0000"/>
                <w:sz w:val="32"/>
              </w:rPr>
              <w:sym w:font="Wingdings 3" w:char="F070"/>
            </w:r>
          </w:p>
        </w:tc>
        <w:tc>
          <w:tcPr>
            <w:tcW w:w="1319" w:type="dxa"/>
            <w:tcBorders>
              <w:top w:val="single" w:sz="8" w:space="0" w:color="auto"/>
              <w:left w:val="single" w:sz="8" w:space="0" w:color="auto"/>
              <w:bottom w:val="single" w:sz="8" w:space="0" w:color="auto"/>
              <w:right w:val="single" w:sz="8" w:space="0" w:color="auto"/>
            </w:tcBorders>
            <w:vAlign w:val="center"/>
          </w:tcPr>
          <w:p w14:paraId="608B5EA9" w14:textId="77777777" w:rsidR="00D338A7" w:rsidRPr="003249A9" w:rsidRDefault="009B0817"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FF0000"/>
                <w:sz w:val="20"/>
                <w:szCs w:val="20"/>
              </w:rPr>
              <w:t>Worse than Q4 2020/21</w:t>
            </w:r>
          </w:p>
        </w:tc>
      </w:tr>
      <w:tr w:rsidR="00511E98" w14:paraId="608B5EB1" w14:textId="77777777" w:rsidTr="00D338A7">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AB"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 planning applications decided within 8 weeks (minor / other applications)</w:t>
            </w:r>
          </w:p>
        </w:tc>
        <w:tc>
          <w:tcPr>
            <w:tcW w:w="1134" w:type="dxa"/>
            <w:tcBorders>
              <w:top w:val="single" w:sz="8" w:space="0" w:color="auto"/>
              <w:left w:val="single" w:sz="8" w:space="0" w:color="auto"/>
              <w:bottom w:val="single" w:sz="8" w:space="0" w:color="auto"/>
            </w:tcBorders>
            <w:vAlign w:val="center"/>
          </w:tcPr>
          <w:p w14:paraId="608B5EAC"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14:paraId="608B5EAD"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85%</w:t>
            </w:r>
          </w:p>
        </w:tc>
        <w:tc>
          <w:tcPr>
            <w:tcW w:w="1418" w:type="dxa"/>
            <w:tcBorders>
              <w:top w:val="single" w:sz="8" w:space="0" w:color="auto"/>
              <w:bottom w:val="single" w:sz="8" w:space="0" w:color="auto"/>
            </w:tcBorders>
            <w:vAlign w:val="center"/>
          </w:tcPr>
          <w:p w14:paraId="608B5EAE"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85.7%</w:t>
            </w:r>
          </w:p>
        </w:tc>
        <w:tc>
          <w:tcPr>
            <w:tcW w:w="1134" w:type="dxa"/>
            <w:tcBorders>
              <w:top w:val="single" w:sz="8" w:space="0" w:color="auto"/>
              <w:bottom w:val="single" w:sz="8" w:space="0" w:color="auto"/>
              <w:right w:val="single" w:sz="8" w:space="0" w:color="auto"/>
            </w:tcBorders>
            <w:vAlign w:val="center"/>
          </w:tcPr>
          <w:p w14:paraId="608B5EAF"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608B5EB0" w14:textId="77777777" w:rsidR="00D338A7" w:rsidRPr="003249A9" w:rsidRDefault="009B0817"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00B050"/>
                <w:sz w:val="20"/>
                <w:szCs w:val="20"/>
              </w:rPr>
              <w:t>Better than Q4 2020/21</w:t>
            </w:r>
          </w:p>
        </w:tc>
      </w:tr>
      <w:tr w:rsidR="00511E98" w14:paraId="608B5EB8" w14:textId="77777777" w:rsidTr="00D338A7">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B2"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 of telephone calls answered within 90 seconds</w:t>
            </w:r>
          </w:p>
        </w:tc>
        <w:tc>
          <w:tcPr>
            <w:tcW w:w="1134" w:type="dxa"/>
            <w:tcBorders>
              <w:top w:val="single" w:sz="8" w:space="0" w:color="auto"/>
              <w:left w:val="single" w:sz="8" w:space="0" w:color="auto"/>
              <w:bottom w:val="single" w:sz="8" w:space="0" w:color="auto"/>
            </w:tcBorders>
            <w:vAlign w:val="center"/>
          </w:tcPr>
          <w:p w14:paraId="608B5EB3"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14:paraId="608B5EB4"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40%</w:t>
            </w:r>
          </w:p>
        </w:tc>
        <w:tc>
          <w:tcPr>
            <w:tcW w:w="1418" w:type="dxa"/>
            <w:tcBorders>
              <w:top w:val="single" w:sz="8" w:space="0" w:color="auto"/>
              <w:bottom w:val="single" w:sz="8" w:space="0" w:color="auto"/>
            </w:tcBorders>
            <w:shd w:val="clear" w:color="auto" w:fill="auto"/>
            <w:vAlign w:val="center"/>
          </w:tcPr>
          <w:p w14:paraId="608B5EB5"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71.4%</w:t>
            </w:r>
          </w:p>
        </w:tc>
        <w:tc>
          <w:tcPr>
            <w:tcW w:w="1134" w:type="dxa"/>
            <w:tcBorders>
              <w:top w:val="single" w:sz="8" w:space="0" w:color="auto"/>
              <w:bottom w:val="single" w:sz="8" w:space="0" w:color="auto"/>
              <w:right w:val="single" w:sz="8" w:space="0" w:color="auto"/>
            </w:tcBorders>
            <w:vAlign w:val="center"/>
          </w:tcPr>
          <w:p w14:paraId="608B5EB6"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608B5EB7" w14:textId="77777777" w:rsidR="00D338A7" w:rsidRPr="003249A9" w:rsidRDefault="009B0817"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00B050"/>
                <w:sz w:val="20"/>
                <w:szCs w:val="20"/>
              </w:rPr>
              <w:t>Better than Q4 2020/21</w:t>
            </w:r>
          </w:p>
        </w:tc>
      </w:tr>
      <w:tr w:rsidR="00511E98" w14:paraId="608B5EBF" w14:textId="77777777" w:rsidTr="00D338A7">
        <w:trPr>
          <w:trHeight w:val="1107"/>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B9"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 of calls abandoned before being answered in a quarter</w:t>
            </w:r>
          </w:p>
        </w:tc>
        <w:tc>
          <w:tcPr>
            <w:tcW w:w="1134" w:type="dxa"/>
            <w:tcBorders>
              <w:top w:val="single" w:sz="8" w:space="0" w:color="auto"/>
              <w:left w:val="single" w:sz="8" w:space="0" w:color="auto"/>
              <w:bottom w:val="single" w:sz="8" w:space="0" w:color="auto"/>
            </w:tcBorders>
            <w:vAlign w:val="center"/>
          </w:tcPr>
          <w:p w14:paraId="608B5EBA"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14:paraId="608B5EBB"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15%</w:t>
            </w:r>
          </w:p>
        </w:tc>
        <w:tc>
          <w:tcPr>
            <w:tcW w:w="1418" w:type="dxa"/>
            <w:tcBorders>
              <w:top w:val="single" w:sz="8" w:space="0" w:color="auto"/>
              <w:bottom w:val="single" w:sz="8" w:space="0" w:color="auto"/>
            </w:tcBorders>
            <w:shd w:val="clear" w:color="auto" w:fill="auto"/>
            <w:vAlign w:val="center"/>
          </w:tcPr>
          <w:p w14:paraId="608B5EBC"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9.3%</w:t>
            </w:r>
          </w:p>
        </w:tc>
        <w:tc>
          <w:tcPr>
            <w:tcW w:w="1134" w:type="dxa"/>
            <w:tcBorders>
              <w:top w:val="single" w:sz="8" w:space="0" w:color="auto"/>
              <w:bottom w:val="single" w:sz="8" w:space="0" w:color="auto"/>
              <w:right w:val="single" w:sz="8" w:space="0" w:color="auto"/>
            </w:tcBorders>
            <w:vAlign w:val="center"/>
          </w:tcPr>
          <w:p w14:paraId="608B5EBD"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608B5EBE" w14:textId="77777777" w:rsidR="00D338A7" w:rsidRPr="003249A9" w:rsidRDefault="009B0817"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00B050"/>
                <w:sz w:val="20"/>
                <w:szCs w:val="20"/>
              </w:rPr>
              <w:t>Better than Q4 2020/21</w:t>
            </w:r>
          </w:p>
        </w:tc>
      </w:tr>
      <w:tr w:rsidR="00511E98" w14:paraId="608B5EC7" w14:textId="77777777" w:rsidTr="00D338A7">
        <w:trPr>
          <w:trHeight w:val="117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C0"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Average days to process a new Housing Benefit claim</w:t>
            </w:r>
          </w:p>
        </w:tc>
        <w:tc>
          <w:tcPr>
            <w:tcW w:w="1134" w:type="dxa"/>
            <w:tcBorders>
              <w:top w:val="single" w:sz="8" w:space="0" w:color="auto"/>
              <w:left w:val="single" w:sz="8" w:space="0" w:color="auto"/>
              <w:bottom w:val="single" w:sz="8" w:space="0" w:color="auto"/>
            </w:tcBorders>
            <w:vAlign w:val="center"/>
          </w:tcPr>
          <w:p w14:paraId="608B5EC1"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Smaller is better</w:t>
            </w:r>
          </w:p>
        </w:tc>
        <w:tc>
          <w:tcPr>
            <w:tcW w:w="1276" w:type="dxa"/>
            <w:tcBorders>
              <w:top w:val="single" w:sz="8" w:space="0" w:color="auto"/>
              <w:bottom w:val="single" w:sz="8" w:space="0" w:color="auto"/>
            </w:tcBorders>
            <w:shd w:val="clear" w:color="auto" w:fill="auto"/>
            <w:vAlign w:val="center"/>
          </w:tcPr>
          <w:p w14:paraId="608B5EC2"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19 days</w:t>
            </w:r>
          </w:p>
        </w:tc>
        <w:tc>
          <w:tcPr>
            <w:tcW w:w="1418" w:type="dxa"/>
            <w:tcBorders>
              <w:top w:val="single" w:sz="8" w:space="0" w:color="auto"/>
              <w:bottom w:val="single" w:sz="8" w:space="0" w:color="auto"/>
            </w:tcBorders>
            <w:shd w:val="clear" w:color="auto" w:fill="auto"/>
            <w:vAlign w:val="center"/>
          </w:tcPr>
          <w:p w14:paraId="608B5EC3"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 xml:space="preserve">15.46 </w:t>
            </w:r>
          </w:p>
          <w:p w14:paraId="608B5EC4"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days</w:t>
            </w:r>
          </w:p>
        </w:tc>
        <w:tc>
          <w:tcPr>
            <w:tcW w:w="1134" w:type="dxa"/>
            <w:tcBorders>
              <w:top w:val="single" w:sz="8" w:space="0" w:color="auto"/>
              <w:bottom w:val="single" w:sz="8" w:space="0" w:color="auto"/>
              <w:right w:val="single" w:sz="8" w:space="0" w:color="auto"/>
            </w:tcBorders>
            <w:vAlign w:val="center"/>
          </w:tcPr>
          <w:p w14:paraId="608B5EC5"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ascii="Wingdings" w:eastAsia="Arial" w:hAnsi="Wingdings" w:cs="Times New Roman"/>
                <w:color w:val="00B050"/>
                <w:sz w:val="44"/>
              </w:rPr>
              <w:sym w:font="Wingdings" w:char="F0AB"/>
            </w:r>
          </w:p>
        </w:tc>
        <w:tc>
          <w:tcPr>
            <w:tcW w:w="1319" w:type="dxa"/>
            <w:tcBorders>
              <w:top w:val="single" w:sz="8" w:space="0" w:color="auto"/>
              <w:left w:val="single" w:sz="8" w:space="0" w:color="auto"/>
              <w:bottom w:val="single" w:sz="8" w:space="0" w:color="auto"/>
              <w:right w:val="single" w:sz="8" w:space="0" w:color="auto"/>
            </w:tcBorders>
            <w:vAlign w:val="center"/>
          </w:tcPr>
          <w:p w14:paraId="608B5EC6" w14:textId="77777777" w:rsidR="00D338A7" w:rsidRPr="003249A9" w:rsidRDefault="009B0817" w:rsidP="00D338A7">
            <w:pPr>
              <w:widowControl w:val="0"/>
              <w:spacing w:line="256" w:lineRule="auto"/>
              <w:contextualSpacing/>
              <w:jc w:val="center"/>
              <w:outlineLvl w:val="0"/>
              <w:rPr>
                <w:rFonts w:eastAsia="Calibri" w:cs="Times New Roman"/>
                <w:color w:val="00B050"/>
              </w:rPr>
            </w:pPr>
            <w:r w:rsidRPr="003249A9">
              <w:rPr>
                <w:rFonts w:eastAsia="Calibri" w:cs="Times New Roman"/>
                <w:color w:val="FF0000"/>
                <w:sz w:val="20"/>
                <w:szCs w:val="20"/>
              </w:rPr>
              <w:t>Worse than Q4 2020/21</w:t>
            </w:r>
          </w:p>
        </w:tc>
      </w:tr>
      <w:tr w:rsidR="00511E98" w14:paraId="608B5ECE" w14:textId="77777777" w:rsidTr="00D338A7">
        <w:trPr>
          <w:trHeight w:val="890"/>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C8"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Percentage of Council Tax collected (Cumulative YTD)</w:t>
            </w:r>
          </w:p>
        </w:tc>
        <w:tc>
          <w:tcPr>
            <w:tcW w:w="1134" w:type="dxa"/>
            <w:tcBorders>
              <w:top w:val="single" w:sz="8" w:space="0" w:color="auto"/>
              <w:left w:val="single" w:sz="8" w:space="0" w:color="auto"/>
              <w:bottom w:val="single" w:sz="8" w:space="0" w:color="auto"/>
            </w:tcBorders>
            <w:vAlign w:val="center"/>
          </w:tcPr>
          <w:p w14:paraId="608B5EC9"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bottom w:val="single" w:sz="8" w:space="0" w:color="auto"/>
            </w:tcBorders>
            <w:shd w:val="clear" w:color="auto" w:fill="auto"/>
            <w:vAlign w:val="center"/>
          </w:tcPr>
          <w:p w14:paraId="608B5ECA"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29%</w:t>
            </w:r>
          </w:p>
        </w:tc>
        <w:tc>
          <w:tcPr>
            <w:tcW w:w="1418" w:type="dxa"/>
            <w:tcBorders>
              <w:top w:val="single" w:sz="8" w:space="0" w:color="auto"/>
              <w:bottom w:val="single" w:sz="8" w:space="0" w:color="auto"/>
            </w:tcBorders>
            <w:shd w:val="clear" w:color="auto" w:fill="auto"/>
            <w:vAlign w:val="center"/>
          </w:tcPr>
          <w:p w14:paraId="608B5ECB"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28.83</w:t>
            </w:r>
          </w:p>
        </w:tc>
        <w:tc>
          <w:tcPr>
            <w:tcW w:w="1134" w:type="dxa"/>
            <w:tcBorders>
              <w:top w:val="single" w:sz="8" w:space="0" w:color="auto"/>
              <w:bottom w:val="single" w:sz="8" w:space="0" w:color="auto"/>
              <w:right w:val="single" w:sz="8" w:space="0" w:color="auto"/>
            </w:tcBorders>
            <w:vAlign w:val="center"/>
          </w:tcPr>
          <w:p w14:paraId="608B5ECC" w14:textId="77777777" w:rsidR="00D338A7" w:rsidRPr="003249A9" w:rsidRDefault="009B0817" w:rsidP="00D338A7">
            <w:pPr>
              <w:widowControl w:val="0"/>
              <w:spacing w:line="256" w:lineRule="auto"/>
              <w:contextualSpacing/>
              <w:jc w:val="center"/>
              <w:outlineLvl w:val="0"/>
              <w:rPr>
                <w:rFonts w:eastAsia="Calibri" w:cs="Times New Roman"/>
                <w:color w:val="5B9BD5"/>
              </w:rPr>
            </w:pPr>
            <w:r w:rsidRPr="003249A9">
              <w:rPr>
                <w:rFonts w:ascii="Wingdings" w:eastAsia="Arial" w:hAnsi="Wingdings" w:cs="Times New Roman"/>
                <w:color w:val="5B9BD5"/>
                <w:sz w:val="44"/>
              </w:rPr>
              <w:sym w:font="Wingdings" w:char="F06C"/>
            </w:r>
          </w:p>
        </w:tc>
        <w:tc>
          <w:tcPr>
            <w:tcW w:w="1319" w:type="dxa"/>
            <w:tcBorders>
              <w:top w:val="single" w:sz="8" w:space="0" w:color="auto"/>
              <w:left w:val="single" w:sz="8" w:space="0" w:color="auto"/>
              <w:bottom w:val="single" w:sz="8" w:space="0" w:color="auto"/>
              <w:right w:val="single" w:sz="8" w:space="0" w:color="auto"/>
            </w:tcBorders>
            <w:vAlign w:val="center"/>
          </w:tcPr>
          <w:p w14:paraId="608B5ECD" w14:textId="77777777" w:rsidR="00D338A7" w:rsidRPr="003249A9" w:rsidRDefault="009B0817"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FF0000"/>
                <w:sz w:val="20"/>
                <w:szCs w:val="20"/>
              </w:rPr>
              <w:t>Worse than Q1 2021/20</w:t>
            </w:r>
          </w:p>
        </w:tc>
      </w:tr>
      <w:tr w:rsidR="00511E98" w14:paraId="608B5ED5" w14:textId="77777777" w:rsidTr="00D338A7">
        <w:trPr>
          <w:trHeight w:val="699"/>
        </w:trPr>
        <w:tc>
          <w:tcPr>
            <w:tcW w:w="4674" w:type="dxa"/>
            <w:tcBorders>
              <w:top w:val="single" w:sz="8" w:space="0" w:color="auto"/>
              <w:left w:val="single" w:sz="8" w:space="0" w:color="auto"/>
              <w:bottom w:val="single" w:sz="8" w:space="0" w:color="auto"/>
              <w:right w:val="single" w:sz="8" w:space="0" w:color="auto"/>
            </w:tcBorders>
            <w:shd w:val="clear" w:color="000000" w:fill="FFFFFF"/>
            <w:vAlign w:val="center"/>
          </w:tcPr>
          <w:p w14:paraId="608B5ECF" w14:textId="77777777" w:rsidR="00D338A7" w:rsidRPr="003249A9" w:rsidRDefault="009B0817" w:rsidP="00D338A7">
            <w:pPr>
              <w:widowControl w:val="0"/>
              <w:spacing w:line="256" w:lineRule="auto"/>
              <w:contextualSpacing/>
              <w:outlineLvl w:val="0"/>
              <w:rPr>
                <w:rFonts w:eastAsia="Calibri" w:cs="Times New Roman"/>
              </w:rPr>
            </w:pPr>
            <w:r w:rsidRPr="003249A9">
              <w:rPr>
                <w:rFonts w:eastAsia="Calibri" w:cs="Times New Roman"/>
              </w:rPr>
              <w:t>Percentage of Business Rates (Cumulative YTD)</w:t>
            </w:r>
          </w:p>
        </w:tc>
        <w:tc>
          <w:tcPr>
            <w:tcW w:w="1134" w:type="dxa"/>
            <w:tcBorders>
              <w:top w:val="single" w:sz="8" w:space="0" w:color="auto"/>
              <w:left w:val="single" w:sz="8" w:space="0" w:color="auto"/>
              <w:bottom w:val="single" w:sz="8" w:space="0" w:color="auto"/>
            </w:tcBorders>
            <w:vAlign w:val="center"/>
          </w:tcPr>
          <w:p w14:paraId="608B5ED0"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Bigger is better</w:t>
            </w:r>
          </w:p>
        </w:tc>
        <w:tc>
          <w:tcPr>
            <w:tcW w:w="1276" w:type="dxa"/>
            <w:tcBorders>
              <w:top w:val="single" w:sz="8" w:space="0" w:color="auto"/>
              <w:left w:val="single" w:sz="4" w:space="0" w:color="auto"/>
              <w:bottom w:val="single" w:sz="8" w:space="0" w:color="auto"/>
            </w:tcBorders>
            <w:shd w:val="clear" w:color="auto" w:fill="auto"/>
            <w:vAlign w:val="center"/>
          </w:tcPr>
          <w:p w14:paraId="608B5ED1" w14:textId="77777777" w:rsidR="00D338A7" w:rsidRPr="003249A9" w:rsidRDefault="009B0817" w:rsidP="00D338A7">
            <w:pPr>
              <w:widowControl w:val="0"/>
              <w:spacing w:line="256" w:lineRule="auto"/>
              <w:contextualSpacing/>
              <w:jc w:val="center"/>
              <w:outlineLvl w:val="0"/>
              <w:rPr>
                <w:rFonts w:eastAsia="Calibri" w:cs="Times New Roman"/>
              </w:rPr>
            </w:pPr>
            <w:r w:rsidRPr="003249A9">
              <w:rPr>
                <w:rFonts w:eastAsia="Calibri" w:cs="Times New Roman"/>
              </w:rPr>
              <w:t>31%</w:t>
            </w:r>
          </w:p>
        </w:tc>
        <w:tc>
          <w:tcPr>
            <w:tcW w:w="1418" w:type="dxa"/>
            <w:tcBorders>
              <w:top w:val="single" w:sz="8" w:space="0" w:color="auto"/>
              <w:bottom w:val="single" w:sz="8" w:space="0" w:color="auto"/>
            </w:tcBorders>
            <w:shd w:val="clear" w:color="auto" w:fill="auto"/>
            <w:vAlign w:val="center"/>
          </w:tcPr>
          <w:p w14:paraId="608B5ED2" w14:textId="77777777" w:rsidR="00D338A7" w:rsidRPr="003249A9" w:rsidRDefault="009B0817" w:rsidP="00D338A7">
            <w:pPr>
              <w:widowControl w:val="0"/>
              <w:spacing w:line="256" w:lineRule="auto"/>
              <w:contextualSpacing/>
              <w:jc w:val="center"/>
              <w:outlineLvl w:val="0"/>
              <w:rPr>
                <w:rFonts w:eastAsia="Calibri" w:cs="Times New Roman"/>
                <w:b/>
                <w:bCs/>
              </w:rPr>
            </w:pPr>
            <w:r w:rsidRPr="003249A9">
              <w:rPr>
                <w:rFonts w:eastAsia="Calibri" w:cs="Times New Roman"/>
                <w:b/>
                <w:bCs/>
              </w:rPr>
              <w:t>30.96</w:t>
            </w:r>
          </w:p>
        </w:tc>
        <w:tc>
          <w:tcPr>
            <w:tcW w:w="1134" w:type="dxa"/>
            <w:tcBorders>
              <w:top w:val="single" w:sz="8" w:space="0" w:color="auto"/>
              <w:bottom w:val="single" w:sz="8" w:space="0" w:color="auto"/>
              <w:right w:val="single" w:sz="8" w:space="0" w:color="auto"/>
            </w:tcBorders>
            <w:vAlign w:val="center"/>
          </w:tcPr>
          <w:p w14:paraId="608B5ED3" w14:textId="77777777" w:rsidR="00D338A7" w:rsidRPr="003249A9" w:rsidRDefault="009B0817" w:rsidP="00D338A7">
            <w:pPr>
              <w:widowControl w:val="0"/>
              <w:spacing w:line="256" w:lineRule="auto"/>
              <w:contextualSpacing/>
              <w:jc w:val="center"/>
              <w:outlineLvl w:val="0"/>
              <w:rPr>
                <w:rFonts w:eastAsia="Calibri" w:cs="Times New Roman"/>
                <w:color w:val="5B9BD5"/>
              </w:rPr>
            </w:pPr>
            <w:r w:rsidRPr="003249A9">
              <w:rPr>
                <w:rFonts w:ascii="Wingdings" w:eastAsia="Arial" w:hAnsi="Wingdings" w:cs="Times New Roman"/>
                <w:color w:val="5B9BD5"/>
                <w:sz w:val="44"/>
              </w:rPr>
              <w:sym w:font="Wingdings" w:char="F06C"/>
            </w:r>
          </w:p>
        </w:tc>
        <w:tc>
          <w:tcPr>
            <w:tcW w:w="1319" w:type="dxa"/>
            <w:tcBorders>
              <w:top w:val="single" w:sz="8" w:space="0" w:color="auto"/>
              <w:left w:val="single" w:sz="8" w:space="0" w:color="auto"/>
              <w:bottom w:val="single" w:sz="8" w:space="0" w:color="auto"/>
              <w:right w:val="single" w:sz="8" w:space="0" w:color="auto"/>
            </w:tcBorders>
            <w:vAlign w:val="center"/>
          </w:tcPr>
          <w:p w14:paraId="608B5ED4" w14:textId="77777777" w:rsidR="00D338A7" w:rsidRPr="003249A9" w:rsidRDefault="009B0817" w:rsidP="00D338A7">
            <w:pPr>
              <w:widowControl w:val="0"/>
              <w:spacing w:line="256" w:lineRule="auto"/>
              <w:contextualSpacing/>
              <w:jc w:val="center"/>
              <w:outlineLvl w:val="0"/>
              <w:rPr>
                <w:rFonts w:eastAsia="Calibri" w:cs="Times New Roman"/>
                <w:color w:val="FF0000"/>
              </w:rPr>
            </w:pPr>
            <w:r w:rsidRPr="003249A9">
              <w:rPr>
                <w:rFonts w:eastAsia="Calibri" w:cs="Times New Roman"/>
                <w:color w:val="FF0000"/>
                <w:sz w:val="20"/>
                <w:szCs w:val="20"/>
              </w:rPr>
              <w:t>Worse than Q1 2021/20</w:t>
            </w:r>
          </w:p>
        </w:tc>
      </w:tr>
      <w:bookmarkEnd w:id="24"/>
      <w:bookmarkEnd w:id="25"/>
    </w:tbl>
    <w:p w14:paraId="608B5ED6" w14:textId="77777777" w:rsidR="00D338A7" w:rsidRPr="003249A9" w:rsidRDefault="00AC69EF" w:rsidP="00D338A7">
      <w:pPr>
        <w:spacing w:after="100" w:afterAutospacing="1" w:line="240" w:lineRule="auto"/>
        <w:outlineLvl w:val="1"/>
        <w:rPr>
          <w:rFonts w:ascii="Times New Roman" w:eastAsia="Times New Roman" w:hAnsi="Times New Roman" w:cstheme="minorHAnsi"/>
          <w:b/>
          <w:color w:val="000000" w:themeColor="text1"/>
          <w:sz w:val="36"/>
          <w:szCs w:val="36"/>
          <w:lang w:val="en-US" w:eastAsia="en-GB"/>
        </w:rPr>
      </w:pPr>
    </w:p>
    <w:p w14:paraId="608B5ED7" w14:textId="77777777" w:rsidR="00D338A7" w:rsidRPr="005C459D" w:rsidRDefault="00AC69EF" w:rsidP="00D338A7">
      <w:pPr>
        <w:rPr>
          <w:rFonts w:cstheme="minorHAnsi"/>
          <w:bCs/>
          <w:color w:val="000000" w:themeColor="text1"/>
          <w:lang w:val="en-US"/>
        </w:rPr>
      </w:pPr>
    </w:p>
    <w:sectPr w:rsidR="00D338A7" w:rsidRPr="005C459D" w:rsidSect="00D338A7">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5EF1" w14:textId="77777777" w:rsidR="007F4334" w:rsidRDefault="009B0817">
      <w:pPr>
        <w:spacing w:after="0" w:line="240" w:lineRule="auto"/>
      </w:pPr>
      <w:r>
        <w:separator/>
      </w:r>
    </w:p>
  </w:endnote>
  <w:endnote w:type="continuationSeparator" w:id="0">
    <w:p w14:paraId="608B5EF3" w14:textId="77777777" w:rsidR="007F4334" w:rsidRDefault="009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5EE9" w14:textId="77777777" w:rsidR="00D338A7" w:rsidRDefault="009B0817" w:rsidP="00D338A7">
      <w:pPr>
        <w:spacing w:after="0" w:line="240" w:lineRule="auto"/>
      </w:pPr>
      <w:r>
        <w:separator/>
      </w:r>
    </w:p>
  </w:footnote>
  <w:footnote w:type="continuationSeparator" w:id="0">
    <w:p w14:paraId="608B5EEA" w14:textId="77777777" w:rsidR="00D338A7" w:rsidRDefault="009B0817" w:rsidP="00D338A7">
      <w:pPr>
        <w:spacing w:after="0" w:line="240" w:lineRule="auto"/>
      </w:pPr>
      <w:r>
        <w:continuationSeparator/>
      </w:r>
    </w:p>
  </w:footnote>
  <w:footnote w:id="1">
    <w:p w14:paraId="608B5EEF" w14:textId="77777777" w:rsidR="00D338A7" w:rsidRDefault="009B0817" w:rsidP="00D338A7">
      <w:pPr>
        <w:pStyle w:val="FootnoteText"/>
      </w:pPr>
      <w:r>
        <w:rPr>
          <w:rStyle w:val="FootnoteReference"/>
        </w:rPr>
        <w:footnoteRef/>
      </w:r>
      <w:r>
        <w:t xml:space="preserve"> </w:t>
      </w:r>
      <w:r w:rsidRPr="00BB532D">
        <w:rPr>
          <w:i/>
          <w:iCs/>
        </w:rPr>
        <w:t>This measure is to be baselined this year (2021/22) to establish a target and data set for future comparison. The number of residents benefiting from opportunities created by the Communities team, has seen a significant increase from 878 in quarter four to 4</w:t>
      </w:r>
      <w:r>
        <w:rPr>
          <w:i/>
          <w:iCs/>
        </w:rPr>
        <w:t>314</w:t>
      </w:r>
      <w:r w:rsidRPr="00BB532D">
        <w:rPr>
          <w:i/>
          <w:iCs/>
        </w:rPr>
        <w:t xml:space="preserve"> this quarter. This is due to the inclusion of 3843 people who participated in the ‘Living Room Live’ virtual event.</w:t>
      </w:r>
      <w:r>
        <w:t xml:space="preserve"> </w:t>
      </w:r>
    </w:p>
    <w:p w14:paraId="608B5EF0" w14:textId="77777777" w:rsidR="00D338A7" w:rsidRPr="00135A57" w:rsidRDefault="00AC69EF" w:rsidP="00D338A7">
      <w:pPr>
        <w:pStyle w:val="FootnoteText"/>
        <w:rPr>
          <w:lang w:val="en-US"/>
        </w:rPr>
      </w:pPr>
    </w:p>
  </w:footnote>
  <w:footnote w:id="2">
    <w:p w14:paraId="608B5EF1" w14:textId="77777777" w:rsidR="00D338A7" w:rsidRPr="00BB532D" w:rsidRDefault="009B0817" w:rsidP="00D338A7">
      <w:pPr>
        <w:pStyle w:val="FootnoteText"/>
        <w:rPr>
          <w:lang w:val="en-US"/>
        </w:rPr>
      </w:pPr>
      <w:r>
        <w:rPr>
          <w:rStyle w:val="FootnoteReference"/>
        </w:rPr>
        <w:footnoteRef/>
      </w:r>
      <w:r>
        <w:t xml:space="preserve"> </w:t>
      </w:r>
      <w:r w:rsidRPr="00BB532D">
        <w:rPr>
          <w:i/>
          <w:iCs/>
        </w:rPr>
        <w:t>There was no tree planting programmed for quarter one, the tree planting season will commence from quarter three.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5EEB" w14:textId="77777777" w:rsidR="00D338A7" w:rsidRDefault="00AC69EF">
    <w:pPr>
      <w:pStyle w:val="Header"/>
    </w:pPr>
  </w:p>
  <w:p w14:paraId="608B5EEC" w14:textId="77777777" w:rsidR="00D338A7" w:rsidRDefault="00AC6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B5EED" w14:textId="77777777" w:rsidR="00D338A7" w:rsidRDefault="00AC69EF">
    <w:pPr>
      <w:pStyle w:val="Header"/>
    </w:pPr>
  </w:p>
  <w:p w14:paraId="608B5EEE" w14:textId="77777777" w:rsidR="00D338A7" w:rsidRDefault="00AC6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556"/>
    <w:multiLevelType w:val="hybridMultilevel"/>
    <w:tmpl w:val="0FFA698E"/>
    <w:lvl w:ilvl="0" w:tplc="BC8A9996">
      <w:start w:val="1"/>
      <w:numFmt w:val="bullet"/>
      <w:lvlText w:val=""/>
      <w:lvlJc w:val="left"/>
      <w:pPr>
        <w:ind w:left="1440" w:hanging="360"/>
      </w:pPr>
      <w:rPr>
        <w:rFonts w:ascii="Wingdings 3" w:hAnsi="Wingdings 3" w:hint="default"/>
      </w:rPr>
    </w:lvl>
    <w:lvl w:ilvl="1" w:tplc="8DDA6C08" w:tentative="1">
      <w:start w:val="1"/>
      <w:numFmt w:val="bullet"/>
      <w:lvlText w:val="o"/>
      <w:lvlJc w:val="left"/>
      <w:pPr>
        <w:ind w:left="2160" w:hanging="360"/>
      </w:pPr>
      <w:rPr>
        <w:rFonts w:ascii="Courier New" w:hAnsi="Courier New" w:cs="Courier New" w:hint="default"/>
      </w:rPr>
    </w:lvl>
    <w:lvl w:ilvl="2" w:tplc="083C6060" w:tentative="1">
      <w:start w:val="1"/>
      <w:numFmt w:val="bullet"/>
      <w:lvlText w:val=""/>
      <w:lvlJc w:val="left"/>
      <w:pPr>
        <w:ind w:left="2880" w:hanging="360"/>
      </w:pPr>
      <w:rPr>
        <w:rFonts w:ascii="Wingdings" w:hAnsi="Wingdings" w:hint="default"/>
      </w:rPr>
    </w:lvl>
    <w:lvl w:ilvl="3" w:tplc="D57A6A20" w:tentative="1">
      <w:start w:val="1"/>
      <w:numFmt w:val="bullet"/>
      <w:lvlText w:val=""/>
      <w:lvlJc w:val="left"/>
      <w:pPr>
        <w:ind w:left="3600" w:hanging="360"/>
      </w:pPr>
      <w:rPr>
        <w:rFonts w:ascii="Symbol" w:hAnsi="Symbol" w:hint="default"/>
      </w:rPr>
    </w:lvl>
    <w:lvl w:ilvl="4" w:tplc="A6DE0BFE" w:tentative="1">
      <w:start w:val="1"/>
      <w:numFmt w:val="bullet"/>
      <w:lvlText w:val="o"/>
      <w:lvlJc w:val="left"/>
      <w:pPr>
        <w:ind w:left="4320" w:hanging="360"/>
      </w:pPr>
      <w:rPr>
        <w:rFonts w:ascii="Courier New" w:hAnsi="Courier New" w:cs="Courier New" w:hint="default"/>
      </w:rPr>
    </w:lvl>
    <w:lvl w:ilvl="5" w:tplc="4AFE72C4" w:tentative="1">
      <w:start w:val="1"/>
      <w:numFmt w:val="bullet"/>
      <w:lvlText w:val=""/>
      <w:lvlJc w:val="left"/>
      <w:pPr>
        <w:ind w:left="5040" w:hanging="360"/>
      </w:pPr>
      <w:rPr>
        <w:rFonts w:ascii="Wingdings" w:hAnsi="Wingdings" w:hint="default"/>
      </w:rPr>
    </w:lvl>
    <w:lvl w:ilvl="6" w:tplc="5B449B86" w:tentative="1">
      <w:start w:val="1"/>
      <w:numFmt w:val="bullet"/>
      <w:lvlText w:val=""/>
      <w:lvlJc w:val="left"/>
      <w:pPr>
        <w:ind w:left="5760" w:hanging="360"/>
      </w:pPr>
      <w:rPr>
        <w:rFonts w:ascii="Symbol" w:hAnsi="Symbol" w:hint="default"/>
      </w:rPr>
    </w:lvl>
    <w:lvl w:ilvl="7" w:tplc="EC201FEE" w:tentative="1">
      <w:start w:val="1"/>
      <w:numFmt w:val="bullet"/>
      <w:lvlText w:val="o"/>
      <w:lvlJc w:val="left"/>
      <w:pPr>
        <w:ind w:left="6480" w:hanging="360"/>
      </w:pPr>
      <w:rPr>
        <w:rFonts w:ascii="Courier New" w:hAnsi="Courier New" w:cs="Courier New" w:hint="default"/>
      </w:rPr>
    </w:lvl>
    <w:lvl w:ilvl="8" w:tplc="3012A128" w:tentative="1">
      <w:start w:val="1"/>
      <w:numFmt w:val="bullet"/>
      <w:lvlText w:val=""/>
      <w:lvlJc w:val="left"/>
      <w:pPr>
        <w:ind w:left="7200" w:hanging="360"/>
      </w:pPr>
      <w:rPr>
        <w:rFonts w:ascii="Wingdings" w:hAnsi="Wingdings" w:hint="default"/>
      </w:rPr>
    </w:lvl>
  </w:abstractNum>
  <w:abstractNum w:abstractNumId="1" w15:restartNumberingAfterBreak="0">
    <w:nsid w:val="07E91EDE"/>
    <w:multiLevelType w:val="hybridMultilevel"/>
    <w:tmpl w:val="DB922496"/>
    <w:lvl w:ilvl="0" w:tplc="D03AF0C2">
      <w:start w:val="1"/>
      <w:numFmt w:val="bullet"/>
      <w:lvlText w:val=""/>
      <w:lvlJc w:val="left"/>
      <w:pPr>
        <w:ind w:left="1800" w:hanging="360"/>
      </w:pPr>
      <w:rPr>
        <w:rFonts w:ascii="Symbol" w:hAnsi="Symbol" w:hint="default"/>
      </w:rPr>
    </w:lvl>
    <w:lvl w:ilvl="1" w:tplc="D28AA510" w:tentative="1">
      <w:start w:val="1"/>
      <w:numFmt w:val="bullet"/>
      <w:lvlText w:val="o"/>
      <w:lvlJc w:val="left"/>
      <w:pPr>
        <w:ind w:left="2520" w:hanging="360"/>
      </w:pPr>
      <w:rPr>
        <w:rFonts w:ascii="Courier New" w:hAnsi="Courier New" w:cs="Courier New" w:hint="default"/>
      </w:rPr>
    </w:lvl>
    <w:lvl w:ilvl="2" w:tplc="CE6C8814" w:tentative="1">
      <w:start w:val="1"/>
      <w:numFmt w:val="bullet"/>
      <w:lvlText w:val=""/>
      <w:lvlJc w:val="left"/>
      <w:pPr>
        <w:ind w:left="3240" w:hanging="360"/>
      </w:pPr>
      <w:rPr>
        <w:rFonts w:ascii="Wingdings" w:hAnsi="Wingdings" w:hint="default"/>
      </w:rPr>
    </w:lvl>
    <w:lvl w:ilvl="3" w:tplc="00622D50" w:tentative="1">
      <w:start w:val="1"/>
      <w:numFmt w:val="bullet"/>
      <w:lvlText w:val=""/>
      <w:lvlJc w:val="left"/>
      <w:pPr>
        <w:ind w:left="3960" w:hanging="360"/>
      </w:pPr>
      <w:rPr>
        <w:rFonts w:ascii="Symbol" w:hAnsi="Symbol" w:hint="default"/>
      </w:rPr>
    </w:lvl>
    <w:lvl w:ilvl="4" w:tplc="A7F4D2C0" w:tentative="1">
      <w:start w:val="1"/>
      <w:numFmt w:val="bullet"/>
      <w:lvlText w:val="o"/>
      <w:lvlJc w:val="left"/>
      <w:pPr>
        <w:ind w:left="4680" w:hanging="360"/>
      </w:pPr>
      <w:rPr>
        <w:rFonts w:ascii="Courier New" w:hAnsi="Courier New" w:cs="Courier New" w:hint="default"/>
      </w:rPr>
    </w:lvl>
    <w:lvl w:ilvl="5" w:tplc="B8A4F836" w:tentative="1">
      <w:start w:val="1"/>
      <w:numFmt w:val="bullet"/>
      <w:lvlText w:val=""/>
      <w:lvlJc w:val="left"/>
      <w:pPr>
        <w:ind w:left="5400" w:hanging="360"/>
      </w:pPr>
      <w:rPr>
        <w:rFonts w:ascii="Wingdings" w:hAnsi="Wingdings" w:hint="default"/>
      </w:rPr>
    </w:lvl>
    <w:lvl w:ilvl="6" w:tplc="E1C4B7D0" w:tentative="1">
      <w:start w:val="1"/>
      <w:numFmt w:val="bullet"/>
      <w:lvlText w:val=""/>
      <w:lvlJc w:val="left"/>
      <w:pPr>
        <w:ind w:left="6120" w:hanging="360"/>
      </w:pPr>
      <w:rPr>
        <w:rFonts w:ascii="Symbol" w:hAnsi="Symbol" w:hint="default"/>
      </w:rPr>
    </w:lvl>
    <w:lvl w:ilvl="7" w:tplc="145C7D4A" w:tentative="1">
      <w:start w:val="1"/>
      <w:numFmt w:val="bullet"/>
      <w:lvlText w:val="o"/>
      <w:lvlJc w:val="left"/>
      <w:pPr>
        <w:ind w:left="6840" w:hanging="360"/>
      </w:pPr>
      <w:rPr>
        <w:rFonts w:ascii="Courier New" w:hAnsi="Courier New" w:cs="Courier New" w:hint="default"/>
      </w:rPr>
    </w:lvl>
    <w:lvl w:ilvl="8" w:tplc="24AAE958" w:tentative="1">
      <w:start w:val="1"/>
      <w:numFmt w:val="bullet"/>
      <w:lvlText w:val=""/>
      <w:lvlJc w:val="left"/>
      <w:pPr>
        <w:ind w:left="7560" w:hanging="360"/>
      </w:pPr>
      <w:rPr>
        <w:rFonts w:ascii="Wingdings" w:hAnsi="Wingdings" w:hint="default"/>
      </w:rPr>
    </w:lvl>
  </w:abstractNum>
  <w:abstractNum w:abstractNumId="2" w15:restartNumberingAfterBreak="0">
    <w:nsid w:val="2D682B4B"/>
    <w:multiLevelType w:val="hybridMultilevel"/>
    <w:tmpl w:val="27D0AF2A"/>
    <w:lvl w:ilvl="0" w:tplc="730AC4EC">
      <w:start w:val="1"/>
      <w:numFmt w:val="bullet"/>
      <w:lvlText w:val=""/>
      <w:lvlJc w:val="left"/>
      <w:pPr>
        <w:ind w:left="990" w:hanging="360"/>
      </w:pPr>
      <w:rPr>
        <w:rFonts w:ascii="Symbol" w:hAnsi="Symbol" w:hint="default"/>
      </w:rPr>
    </w:lvl>
    <w:lvl w:ilvl="1" w:tplc="34F61ADC" w:tentative="1">
      <w:start w:val="1"/>
      <w:numFmt w:val="bullet"/>
      <w:lvlText w:val="o"/>
      <w:lvlJc w:val="left"/>
      <w:pPr>
        <w:ind w:left="1710" w:hanging="360"/>
      </w:pPr>
      <w:rPr>
        <w:rFonts w:ascii="Courier New" w:hAnsi="Courier New" w:cs="Courier New" w:hint="default"/>
      </w:rPr>
    </w:lvl>
    <w:lvl w:ilvl="2" w:tplc="B25C2B4A" w:tentative="1">
      <w:start w:val="1"/>
      <w:numFmt w:val="bullet"/>
      <w:lvlText w:val=""/>
      <w:lvlJc w:val="left"/>
      <w:pPr>
        <w:ind w:left="2430" w:hanging="360"/>
      </w:pPr>
      <w:rPr>
        <w:rFonts w:ascii="Wingdings" w:hAnsi="Wingdings" w:hint="default"/>
      </w:rPr>
    </w:lvl>
    <w:lvl w:ilvl="3" w:tplc="1E701A28" w:tentative="1">
      <w:start w:val="1"/>
      <w:numFmt w:val="bullet"/>
      <w:lvlText w:val=""/>
      <w:lvlJc w:val="left"/>
      <w:pPr>
        <w:ind w:left="3150" w:hanging="360"/>
      </w:pPr>
      <w:rPr>
        <w:rFonts w:ascii="Symbol" w:hAnsi="Symbol" w:hint="default"/>
      </w:rPr>
    </w:lvl>
    <w:lvl w:ilvl="4" w:tplc="D18EC0DA" w:tentative="1">
      <w:start w:val="1"/>
      <w:numFmt w:val="bullet"/>
      <w:lvlText w:val="o"/>
      <w:lvlJc w:val="left"/>
      <w:pPr>
        <w:ind w:left="3870" w:hanging="360"/>
      </w:pPr>
      <w:rPr>
        <w:rFonts w:ascii="Courier New" w:hAnsi="Courier New" w:cs="Courier New" w:hint="default"/>
      </w:rPr>
    </w:lvl>
    <w:lvl w:ilvl="5" w:tplc="0F1872F6" w:tentative="1">
      <w:start w:val="1"/>
      <w:numFmt w:val="bullet"/>
      <w:lvlText w:val=""/>
      <w:lvlJc w:val="left"/>
      <w:pPr>
        <w:ind w:left="4590" w:hanging="360"/>
      </w:pPr>
      <w:rPr>
        <w:rFonts w:ascii="Wingdings" w:hAnsi="Wingdings" w:hint="default"/>
      </w:rPr>
    </w:lvl>
    <w:lvl w:ilvl="6" w:tplc="A3604304" w:tentative="1">
      <w:start w:val="1"/>
      <w:numFmt w:val="bullet"/>
      <w:lvlText w:val=""/>
      <w:lvlJc w:val="left"/>
      <w:pPr>
        <w:ind w:left="5310" w:hanging="360"/>
      </w:pPr>
      <w:rPr>
        <w:rFonts w:ascii="Symbol" w:hAnsi="Symbol" w:hint="default"/>
      </w:rPr>
    </w:lvl>
    <w:lvl w:ilvl="7" w:tplc="42FE7576" w:tentative="1">
      <w:start w:val="1"/>
      <w:numFmt w:val="bullet"/>
      <w:lvlText w:val="o"/>
      <w:lvlJc w:val="left"/>
      <w:pPr>
        <w:ind w:left="6030" w:hanging="360"/>
      </w:pPr>
      <w:rPr>
        <w:rFonts w:ascii="Courier New" w:hAnsi="Courier New" w:cs="Courier New" w:hint="default"/>
      </w:rPr>
    </w:lvl>
    <w:lvl w:ilvl="8" w:tplc="D2F24C0A" w:tentative="1">
      <w:start w:val="1"/>
      <w:numFmt w:val="bullet"/>
      <w:lvlText w:val=""/>
      <w:lvlJc w:val="left"/>
      <w:pPr>
        <w:ind w:left="6750" w:hanging="360"/>
      </w:pPr>
      <w:rPr>
        <w:rFonts w:ascii="Wingdings" w:hAnsi="Wingdings" w:hint="default"/>
      </w:rPr>
    </w:lvl>
  </w:abstractNum>
  <w:abstractNum w:abstractNumId="3" w15:restartNumberingAfterBreak="0">
    <w:nsid w:val="3B0324D4"/>
    <w:multiLevelType w:val="hybridMultilevel"/>
    <w:tmpl w:val="0CE2B5E6"/>
    <w:lvl w:ilvl="0" w:tplc="6A7EBDE4">
      <w:start w:val="1"/>
      <w:numFmt w:val="bullet"/>
      <w:lvlText w:val=""/>
      <w:lvlJc w:val="left"/>
      <w:pPr>
        <w:ind w:left="720" w:hanging="360"/>
      </w:pPr>
      <w:rPr>
        <w:rFonts w:ascii="Symbol" w:hAnsi="Symbol" w:hint="default"/>
        <w:color w:val="7FC444"/>
      </w:rPr>
    </w:lvl>
    <w:lvl w:ilvl="1" w:tplc="51ACC29C" w:tentative="1">
      <w:start w:val="1"/>
      <w:numFmt w:val="bullet"/>
      <w:lvlText w:val="o"/>
      <w:lvlJc w:val="left"/>
      <w:pPr>
        <w:ind w:left="1800" w:hanging="360"/>
      </w:pPr>
      <w:rPr>
        <w:rFonts w:ascii="Courier New" w:hAnsi="Courier New" w:cs="Courier New" w:hint="default"/>
      </w:rPr>
    </w:lvl>
    <w:lvl w:ilvl="2" w:tplc="7DB88DA6" w:tentative="1">
      <w:start w:val="1"/>
      <w:numFmt w:val="bullet"/>
      <w:lvlText w:val=""/>
      <w:lvlJc w:val="left"/>
      <w:pPr>
        <w:ind w:left="2520" w:hanging="360"/>
      </w:pPr>
      <w:rPr>
        <w:rFonts w:ascii="Wingdings" w:hAnsi="Wingdings" w:hint="default"/>
      </w:rPr>
    </w:lvl>
    <w:lvl w:ilvl="3" w:tplc="9600F0D6" w:tentative="1">
      <w:start w:val="1"/>
      <w:numFmt w:val="bullet"/>
      <w:lvlText w:val=""/>
      <w:lvlJc w:val="left"/>
      <w:pPr>
        <w:ind w:left="3240" w:hanging="360"/>
      </w:pPr>
      <w:rPr>
        <w:rFonts w:ascii="Symbol" w:hAnsi="Symbol" w:hint="default"/>
      </w:rPr>
    </w:lvl>
    <w:lvl w:ilvl="4" w:tplc="D9DED78A" w:tentative="1">
      <w:start w:val="1"/>
      <w:numFmt w:val="bullet"/>
      <w:lvlText w:val="o"/>
      <w:lvlJc w:val="left"/>
      <w:pPr>
        <w:ind w:left="3960" w:hanging="360"/>
      </w:pPr>
      <w:rPr>
        <w:rFonts w:ascii="Courier New" w:hAnsi="Courier New" w:cs="Courier New" w:hint="default"/>
      </w:rPr>
    </w:lvl>
    <w:lvl w:ilvl="5" w:tplc="6854CC2E" w:tentative="1">
      <w:start w:val="1"/>
      <w:numFmt w:val="bullet"/>
      <w:lvlText w:val=""/>
      <w:lvlJc w:val="left"/>
      <w:pPr>
        <w:ind w:left="4680" w:hanging="360"/>
      </w:pPr>
      <w:rPr>
        <w:rFonts w:ascii="Wingdings" w:hAnsi="Wingdings" w:hint="default"/>
      </w:rPr>
    </w:lvl>
    <w:lvl w:ilvl="6" w:tplc="BEEAAEB8" w:tentative="1">
      <w:start w:val="1"/>
      <w:numFmt w:val="bullet"/>
      <w:lvlText w:val=""/>
      <w:lvlJc w:val="left"/>
      <w:pPr>
        <w:ind w:left="5400" w:hanging="360"/>
      </w:pPr>
      <w:rPr>
        <w:rFonts w:ascii="Symbol" w:hAnsi="Symbol" w:hint="default"/>
      </w:rPr>
    </w:lvl>
    <w:lvl w:ilvl="7" w:tplc="704CA7DE" w:tentative="1">
      <w:start w:val="1"/>
      <w:numFmt w:val="bullet"/>
      <w:lvlText w:val="o"/>
      <w:lvlJc w:val="left"/>
      <w:pPr>
        <w:ind w:left="6120" w:hanging="360"/>
      </w:pPr>
      <w:rPr>
        <w:rFonts w:ascii="Courier New" w:hAnsi="Courier New" w:cs="Courier New" w:hint="default"/>
      </w:rPr>
    </w:lvl>
    <w:lvl w:ilvl="8" w:tplc="916EAB62" w:tentative="1">
      <w:start w:val="1"/>
      <w:numFmt w:val="bullet"/>
      <w:lvlText w:val=""/>
      <w:lvlJc w:val="left"/>
      <w:pPr>
        <w:ind w:left="6840" w:hanging="360"/>
      </w:pPr>
      <w:rPr>
        <w:rFonts w:ascii="Wingdings" w:hAnsi="Wingdings" w:hint="default"/>
      </w:rPr>
    </w:lvl>
  </w:abstractNum>
  <w:abstractNum w:abstractNumId="4" w15:restartNumberingAfterBreak="0">
    <w:nsid w:val="53EC42E2"/>
    <w:multiLevelType w:val="hybridMultilevel"/>
    <w:tmpl w:val="37ECB20A"/>
    <w:lvl w:ilvl="0" w:tplc="8024880E">
      <w:start w:val="1"/>
      <w:numFmt w:val="bullet"/>
      <w:lvlText w:val=""/>
      <w:lvlJc w:val="left"/>
      <w:pPr>
        <w:ind w:left="720" w:hanging="360"/>
      </w:pPr>
      <w:rPr>
        <w:rFonts w:ascii="Symbol" w:hAnsi="Symbol" w:hint="default"/>
        <w:color w:val="auto"/>
      </w:rPr>
    </w:lvl>
    <w:lvl w:ilvl="1" w:tplc="11543BEC" w:tentative="1">
      <w:start w:val="1"/>
      <w:numFmt w:val="bullet"/>
      <w:lvlText w:val="o"/>
      <w:lvlJc w:val="left"/>
      <w:pPr>
        <w:ind w:left="1440" w:hanging="360"/>
      </w:pPr>
      <w:rPr>
        <w:rFonts w:ascii="Courier New" w:hAnsi="Courier New" w:cs="Courier New" w:hint="default"/>
      </w:rPr>
    </w:lvl>
    <w:lvl w:ilvl="2" w:tplc="4CA84678" w:tentative="1">
      <w:start w:val="1"/>
      <w:numFmt w:val="bullet"/>
      <w:lvlText w:val=""/>
      <w:lvlJc w:val="left"/>
      <w:pPr>
        <w:ind w:left="2160" w:hanging="360"/>
      </w:pPr>
      <w:rPr>
        <w:rFonts w:ascii="Wingdings" w:hAnsi="Wingdings" w:hint="default"/>
      </w:rPr>
    </w:lvl>
    <w:lvl w:ilvl="3" w:tplc="FC00464A" w:tentative="1">
      <w:start w:val="1"/>
      <w:numFmt w:val="bullet"/>
      <w:lvlText w:val=""/>
      <w:lvlJc w:val="left"/>
      <w:pPr>
        <w:ind w:left="2880" w:hanging="360"/>
      </w:pPr>
      <w:rPr>
        <w:rFonts w:ascii="Symbol" w:hAnsi="Symbol" w:hint="default"/>
      </w:rPr>
    </w:lvl>
    <w:lvl w:ilvl="4" w:tplc="FE743E7E" w:tentative="1">
      <w:start w:val="1"/>
      <w:numFmt w:val="bullet"/>
      <w:lvlText w:val="o"/>
      <w:lvlJc w:val="left"/>
      <w:pPr>
        <w:ind w:left="3600" w:hanging="360"/>
      </w:pPr>
      <w:rPr>
        <w:rFonts w:ascii="Courier New" w:hAnsi="Courier New" w:cs="Courier New" w:hint="default"/>
      </w:rPr>
    </w:lvl>
    <w:lvl w:ilvl="5" w:tplc="B136EA96" w:tentative="1">
      <w:start w:val="1"/>
      <w:numFmt w:val="bullet"/>
      <w:lvlText w:val=""/>
      <w:lvlJc w:val="left"/>
      <w:pPr>
        <w:ind w:left="4320" w:hanging="360"/>
      </w:pPr>
      <w:rPr>
        <w:rFonts w:ascii="Wingdings" w:hAnsi="Wingdings" w:hint="default"/>
      </w:rPr>
    </w:lvl>
    <w:lvl w:ilvl="6" w:tplc="FD9868C6" w:tentative="1">
      <w:start w:val="1"/>
      <w:numFmt w:val="bullet"/>
      <w:lvlText w:val=""/>
      <w:lvlJc w:val="left"/>
      <w:pPr>
        <w:ind w:left="5040" w:hanging="360"/>
      </w:pPr>
      <w:rPr>
        <w:rFonts w:ascii="Symbol" w:hAnsi="Symbol" w:hint="default"/>
      </w:rPr>
    </w:lvl>
    <w:lvl w:ilvl="7" w:tplc="ED08035C" w:tentative="1">
      <w:start w:val="1"/>
      <w:numFmt w:val="bullet"/>
      <w:lvlText w:val="o"/>
      <w:lvlJc w:val="left"/>
      <w:pPr>
        <w:ind w:left="5760" w:hanging="360"/>
      </w:pPr>
      <w:rPr>
        <w:rFonts w:ascii="Courier New" w:hAnsi="Courier New" w:cs="Courier New" w:hint="default"/>
      </w:rPr>
    </w:lvl>
    <w:lvl w:ilvl="8" w:tplc="2EDAEE72" w:tentative="1">
      <w:start w:val="1"/>
      <w:numFmt w:val="bullet"/>
      <w:lvlText w:val=""/>
      <w:lvlJc w:val="left"/>
      <w:pPr>
        <w:ind w:left="6480" w:hanging="360"/>
      </w:pPr>
      <w:rPr>
        <w:rFonts w:ascii="Wingdings" w:hAnsi="Wingdings" w:hint="default"/>
      </w:rPr>
    </w:lvl>
  </w:abstractNum>
  <w:abstractNum w:abstractNumId="5" w15:restartNumberingAfterBreak="0">
    <w:nsid w:val="56D14F8B"/>
    <w:multiLevelType w:val="hybridMultilevel"/>
    <w:tmpl w:val="BFF6FB72"/>
    <w:lvl w:ilvl="0" w:tplc="99C6B5F0">
      <w:start w:val="1"/>
      <w:numFmt w:val="bullet"/>
      <w:lvlText w:val=""/>
      <w:lvlJc w:val="left"/>
      <w:pPr>
        <w:ind w:left="1440" w:hanging="360"/>
      </w:pPr>
      <w:rPr>
        <w:rFonts w:ascii="Wingdings 3" w:hAnsi="Wingdings 3" w:hint="default"/>
      </w:rPr>
    </w:lvl>
    <w:lvl w:ilvl="1" w:tplc="5EFC7510" w:tentative="1">
      <w:start w:val="1"/>
      <w:numFmt w:val="bullet"/>
      <w:lvlText w:val="o"/>
      <w:lvlJc w:val="left"/>
      <w:pPr>
        <w:ind w:left="2160" w:hanging="360"/>
      </w:pPr>
      <w:rPr>
        <w:rFonts w:ascii="Courier New" w:hAnsi="Courier New" w:cs="Courier New" w:hint="default"/>
      </w:rPr>
    </w:lvl>
    <w:lvl w:ilvl="2" w:tplc="49B63E76" w:tentative="1">
      <w:start w:val="1"/>
      <w:numFmt w:val="bullet"/>
      <w:lvlText w:val=""/>
      <w:lvlJc w:val="left"/>
      <w:pPr>
        <w:ind w:left="2880" w:hanging="360"/>
      </w:pPr>
      <w:rPr>
        <w:rFonts w:ascii="Wingdings" w:hAnsi="Wingdings" w:hint="default"/>
      </w:rPr>
    </w:lvl>
    <w:lvl w:ilvl="3" w:tplc="918E7112" w:tentative="1">
      <w:start w:val="1"/>
      <w:numFmt w:val="bullet"/>
      <w:lvlText w:val=""/>
      <w:lvlJc w:val="left"/>
      <w:pPr>
        <w:ind w:left="3600" w:hanging="360"/>
      </w:pPr>
      <w:rPr>
        <w:rFonts w:ascii="Symbol" w:hAnsi="Symbol" w:hint="default"/>
      </w:rPr>
    </w:lvl>
    <w:lvl w:ilvl="4" w:tplc="52BEC7E0" w:tentative="1">
      <w:start w:val="1"/>
      <w:numFmt w:val="bullet"/>
      <w:lvlText w:val="o"/>
      <w:lvlJc w:val="left"/>
      <w:pPr>
        <w:ind w:left="4320" w:hanging="360"/>
      </w:pPr>
      <w:rPr>
        <w:rFonts w:ascii="Courier New" w:hAnsi="Courier New" w:cs="Courier New" w:hint="default"/>
      </w:rPr>
    </w:lvl>
    <w:lvl w:ilvl="5" w:tplc="9B081888" w:tentative="1">
      <w:start w:val="1"/>
      <w:numFmt w:val="bullet"/>
      <w:lvlText w:val=""/>
      <w:lvlJc w:val="left"/>
      <w:pPr>
        <w:ind w:left="5040" w:hanging="360"/>
      </w:pPr>
      <w:rPr>
        <w:rFonts w:ascii="Wingdings" w:hAnsi="Wingdings" w:hint="default"/>
      </w:rPr>
    </w:lvl>
    <w:lvl w:ilvl="6" w:tplc="5A947148" w:tentative="1">
      <w:start w:val="1"/>
      <w:numFmt w:val="bullet"/>
      <w:lvlText w:val=""/>
      <w:lvlJc w:val="left"/>
      <w:pPr>
        <w:ind w:left="5760" w:hanging="360"/>
      </w:pPr>
      <w:rPr>
        <w:rFonts w:ascii="Symbol" w:hAnsi="Symbol" w:hint="default"/>
      </w:rPr>
    </w:lvl>
    <w:lvl w:ilvl="7" w:tplc="55D64462" w:tentative="1">
      <w:start w:val="1"/>
      <w:numFmt w:val="bullet"/>
      <w:lvlText w:val="o"/>
      <w:lvlJc w:val="left"/>
      <w:pPr>
        <w:ind w:left="6480" w:hanging="360"/>
      </w:pPr>
      <w:rPr>
        <w:rFonts w:ascii="Courier New" w:hAnsi="Courier New" w:cs="Courier New" w:hint="default"/>
      </w:rPr>
    </w:lvl>
    <w:lvl w:ilvl="8" w:tplc="B63A456E" w:tentative="1">
      <w:start w:val="1"/>
      <w:numFmt w:val="bullet"/>
      <w:lvlText w:val=""/>
      <w:lvlJc w:val="left"/>
      <w:pPr>
        <w:ind w:left="7200" w:hanging="360"/>
      </w:pPr>
      <w:rPr>
        <w:rFonts w:ascii="Wingdings" w:hAnsi="Wingdings" w:hint="default"/>
      </w:rPr>
    </w:lvl>
  </w:abstractNum>
  <w:abstractNum w:abstractNumId="6" w15:restartNumberingAfterBreak="0">
    <w:nsid w:val="597811DD"/>
    <w:multiLevelType w:val="hybridMultilevel"/>
    <w:tmpl w:val="FA5C2D58"/>
    <w:lvl w:ilvl="0" w:tplc="D63A0048">
      <w:start w:val="1"/>
      <w:numFmt w:val="decimal"/>
      <w:lvlText w:val="%1."/>
      <w:lvlJc w:val="left"/>
      <w:pPr>
        <w:ind w:left="720" w:hanging="360"/>
      </w:pPr>
    </w:lvl>
    <w:lvl w:ilvl="1" w:tplc="2682A17C" w:tentative="1">
      <w:start w:val="1"/>
      <w:numFmt w:val="lowerLetter"/>
      <w:lvlText w:val="%2."/>
      <w:lvlJc w:val="left"/>
      <w:pPr>
        <w:ind w:left="1440" w:hanging="360"/>
      </w:pPr>
    </w:lvl>
    <w:lvl w:ilvl="2" w:tplc="9E2C8532" w:tentative="1">
      <w:start w:val="1"/>
      <w:numFmt w:val="lowerRoman"/>
      <w:lvlText w:val="%3."/>
      <w:lvlJc w:val="right"/>
      <w:pPr>
        <w:ind w:left="2160" w:hanging="180"/>
      </w:pPr>
    </w:lvl>
    <w:lvl w:ilvl="3" w:tplc="35FE9946" w:tentative="1">
      <w:start w:val="1"/>
      <w:numFmt w:val="decimal"/>
      <w:lvlText w:val="%4."/>
      <w:lvlJc w:val="left"/>
      <w:pPr>
        <w:ind w:left="2880" w:hanging="360"/>
      </w:pPr>
    </w:lvl>
    <w:lvl w:ilvl="4" w:tplc="8616678C" w:tentative="1">
      <w:start w:val="1"/>
      <w:numFmt w:val="lowerLetter"/>
      <w:lvlText w:val="%5."/>
      <w:lvlJc w:val="left"/>
      <w:pPr>
        <w:ind w:left="3600" w:hanging="360"/>
      </w:pPr>
    </w:lvl>
    <w:lvl w:ilvl="5" w:tplc="CBC6E7CC" w:tentative="1">
      <w:start w:val="1"/>
      <w:numFmt w:val="lowerRoman"/>
      <w:lvlText w:val="%6."/>
      <w:lvlJc w:val="right"/>
      <w:pPr>
        <w:ind w:left="4320" w:hanging="180"/>
      </w:pPr>
    </w:lvl>
    <w:lvl w:ilvl="6" w:tplc="041C2740" w:tentative="1">
      <w:start w:val="1"/>
      <w:numFmt w:val="decimal"/>
      <w:lvlText w:val="%7."/>
      <w:lvlJc w:val="left"/>
      <w:pPr>
        <w:ind w:left="5040" w:hanging="360"/>
      </w:pPr>
    </w:lvl>
    <w:lvl w:ilvl="7" w:tplc="4E3E3AA2" w:tentative="1">
      <w:start w:val="1"/>
      <w:numFmt w:val="lowerLetter"/>
      <w:lvlText w:val="%8."/>
      <w:lvlJc w:val="left"/>
      <w:pPr>
        <w:ind w:left="5760" w:hanging="360"/>
      </w:pPr>
    </w:lvl>
    <w:lvl w:ilvl="8" w:tplc="B4304CBC"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39E43BD2">
      <w:start w:val="1"/>
      <w:numFmt w:val="bullet"/>
      <w:lvlText w:val=""/>
      <w:lvlJc w:val="left"/>
      <w:pPr>
        <w:ind w:left="720" w:hanging="360"/>
      </w:pPr>
      <w:rPr>
        <w:rFonts w:ascii="Symbol" w:hAnsi="Symbol" w:hint="default"/>
        <w:color w:val="7FC444"/>
      </w:rPr>
    </w:lvl>
    <w:lvl w:ilvl="1" w:tplc="6BAAFA3C" w:tentative="1">
      <w:start w:val="1"/>
      <w:numFmt w:val="bullet"/>
      <w:lvlText w:val="o"/>
      <w:lvlJc w:val="left"/>
      <w:pPr>
        <w:ind w:left="1440" w:hanging="360"/>
      </w:pPr>
      <w:rPr>
        <w:rFonts w:ascii="Courier New" w:hAnsi="Courier New" w:cs="Courier New" w:hint="default"/>
      </w:rPr>
    </w:lvl>
    <w:lvl w:ilvl="2" w:tplc="61FA2A1E" w:tentative="1">
      <w:start w:val="1"/>
      <w:numFmt w:val="bullet"/>
      <w:lvlText w:val=""/>
      <w:lvlJc w:val="left"/>
      <w:pPr>
        <w:ind w:left="2160" w:hanging="360"/>
      </w:pPr>
      <w:rPr>
        <w:rFonts w:ascii="Wingdings" w:hAnsi="Wingdings" w:hint="default"/>
      </w:rPr>
    </w:lvl>
    <w:lvl w:ilvl="3" w:tplc="4A7ABEE4" w:tentative="1">
      <w:start w:val="1"/>
      <w:numFmt w:val="bullet"/>
      <w:lvlText w:val=""/>
      <w:lvlJc w:val="left"/>
      <w:pPr>
        <w:ind w:left="2880" w:hanging="360"/>
      </w:pPr>
      <w:rPr>
        <w:rFonts w:ascii="Symbol" w:hAnsi="Symbol" w:hint="default"/>
      </w:rPr>
    </w:lvl>
    <w:lvl w:ilvl="4" w:tplc="A858C6BE" w:tentative="1">
      <w:start w:val="1"/>
      <w:numFmt w:val="bullet"/>
      <w:lvlText w:val="o"/>
      <w:lvlJc w:val="left"/>
      <w:pPr>
        <w:ind w:left="3600" w:hanging="360"/>
      </w:pPr>
      <w:rPr>
        <w:rFonts w:ascii="Courier New" w:hAnsi="Courier New" w:cs="Courier New" w:hint="default"/>
      </w:rPr>
    </w:lvl>
    <w:lvl w:ilvl="5" w:tplc="FBCED876" w:tentative="1">
      <w:start w:val="1"/>
      <w:numFmt w:val="bullet"/>
      <w:lvlText w:val=""/>
      <w:lvlJc w:val="left"/>
      <w:pPr>
        <w:ind w:left="4320" w:hanging="360"/>
      </w:pPr>
      <w:rPr>
        <w:rFonts w:ascii="Wingdings" w:hAnsi="Wingdings" w:hint="default"/>
      </w:rPr>
    </w:lvl>
    <w:lvl w:ilvl="6" w:tplc="AE3E0DEA" w:tentative="1">
      <w:start w:val="1"/>
      <w:numFmt w:val="bullet"/>
      <w:lvlText w:val=""/>
      <w:lvlJc w:val="left"/>
      <w:pPr>
        <w:ind w:left="5040" w:hanging="360"/>
      </w:pPr>
      <w:rPr>
        <w:rFonts w:ascii="Symbol" w:hAnsi="Symbol" w:hint="default"/>
      </w:rPr>
    </w:lvl>
    <w:lvl w:ilvl="7" w:tplc="42DEB34C" w:tentative="1">
      <w:start w:val="1"/>
      <w:numFmt w:val="bullet"/>
      <w:lvlText w:val="o"/>
      <w:lvlJc w:val="left"/>
      <w:pPr>
        <w:ind w:left="5760" w:hanging="360"/>
      </w:pPr>
      <w:rPr>
        <w:rFonts w:ascii="Courier New" w:hAnsi="Courier New" w:cs="Courier New" w:hint="default"/>
      </w:rPr>
    </w:lvl>
    <w:lvl w:ilvl="8" w:tplc="10028F7A" w:tentative="1">
      <w:start w:val="1"/>
      <w:numFmt w:val="bullet"/>
      <w:lvlText w:val=""/>
      <w:lvlJc w:val="left"/>
      <w:pPr>
        <w:ind w:left="6480" w:hanging="360"/>
      </w:pPr>
      <w:rPr>
        <w:rFonts w:ascii="Wingdings" w:hAnsi="Wingdings" w:hint="default"/>
      </w:rPr>
    </w:lvl>
  </w:abstractNum>
  <w:abstractNum w:abstractNumId="8" w15:restartNumberingAfterBreak="0">
    <w:nsid w:val="5EBF00E5"/>
    <w:multiLevelType w:val="hybridMultilevel"/>
    <w:tmpl w:val="D636561A"/>
    <w:lvl w:ilvl="0" w:tplc="4A68CB82">
      <w:start w:val="1"/>
      <w:numFmt w:val="decimal"/>
      <w:lvlText w:val="%1."/>
      <w:lvlJc w:val="left"/>
      <w:pPr>
        <w:ind w:left="360" w:hanging="360"/>
      </w:pPr>
      <w:rPr>
        <w:rFonts w:ascii="Arial" w:hAnsi="Arial" w:hint="default"/>
        <w:b w:val="0"/>
        <w:bCs w:val="0"/>
        <w:i w:val="0"/>
        <w:color w:val="auto"/>
        <w:sz w:val="22"/>
        <w:szCs w:val="22"/>
      </w:rPr>
    </w:lvl>
    <w:lvl w:ilvl="1" w:tplc="F4C00268" w:tentative="1">
      <w:start w:val="1"/>
      <w:numFmt w:val="lowerLetter"/>
      <w:lvlText w:val="%2."/>
      <w:lvlJc w:val="left"/>
      <w:pPr>
        <w:ind w:left="1080" w:hanging="360"/>
      </w:pPr>
    </w:lvl>
    <w:lvl w:ilvl="2" w:tplc="AE2A35FE" w:tentative="1">
      <w:start w:val="1"/>
      <w:numFmt w:val="lowerRoman"/>
      <w:lvlText w:val="%3."/>
      <w:lvlJc w:val="right"/>
      <w:pPr>
        <w:ind w:left="1800" w:hanging="180"/>
      </w:pPr>
    </w:lvl>
    <w:lvl w:ilvl="3" w:tplc="D690EF72" w:tentative="1">
      <w:start w:val="1"/>
      <w:numFmt w:val="decimal"/>
      <w:lvlText w:val="%4."/>
      <w:lvlJc w:val="left"/>
      <w:pPr>
        <w:ind w:left="2520" w:hanging="360"/>
      </w:pPr>
    </w:lvl>
    <w:lvl w:ilvl="4" w:tplc="A3580C38" w:tentative="1">
      <w:start w:val="1"/>
      <w:numFmt w:val="lowerLetter"/>
      <w:lvlText w:val="%5."/>
      <w:lvlJc w:val="left"/>
      <w:pPr>
        <w:ind w:left="3240" w:hanging="360"/>
      </w:pPr>
    </w:lvl>
    <w:lvl w:ilvl="5" w:tplc="1C122A34" w:tentative="1">
      <w:start w:val="1"/>
      <w:numFmt w:val="lowerRoman"/>
      <w:lvlText w:val="%6."/>
      <w:lvlJc w:val="right"/>
      <w:pPr>
        <w:ind w:left="3960" w:hanging="180"/>
      </w:pPr>
    </w:lvl>
    <w:lvl w:ilvl="6" w:tplc="71BCADDC" w:tentative="1">
      <w:start w:val="1"/>
      <w:numFmt w:val="decimal"/>
      <w:lvlText w:val="%7."/>
      <w:lvlJc w:val="left"/>
      <w:pPr>
        <w:ind w:left="4680" w:hanging="360"/>
      </w:pPr>
    </w:lvl>
    <w:lvl w:ilvl="7" w:tplc="634A8D38" w:tentative="1">
      <w:start w:val="1"/>
      <w:numFmt w:val="lowerLetter"/>
      <w:lvlText w:val="%8."/>
      <w:lvlJc w:val="left"/>
      <w:pPr>
        <w:ind w:left="5400" w:hanging="360"/>
      </w:pPr>
    </w:lvl>
    <w:lvl w:ilvl="8" w:tplc="39EA153E" w:tentative="1">
      <w:start w:val="1"/>
      <w:numFmt w:val="lowerRoman"/>
      <w:lvlText w:val="%9."/>
      <w:lvlJc w:val="right"/>
      <w:pPr>
        <w:ind w:left="6120" w:hanging="180"/>
      </w:pPr>
    </w:lvl>
  </w:abstractNum>
  <w:abstractNum w:abstractNumId="9" w15:restartNumberingAfterBreak="0">
    <w:nsid w:val="687524EC"/>
    <w:multiLevelType w:val="hybridMultilevel"/>
    <w:tmpl w:val="C83AE318"/>
    <w:lvl w:ilvl="0" w:tplc="EB801B24">
      <w:start w:val="1"/>
      <w:numFmt w:val="bullet"/>
      <w:lvlText w:val=""/>
      <w:lvlJc w:val="left"/>
      <w:pPr>
        <w:ind w:left="720" w:hanging="360"/>
      </w:pPr>
      <w:rPr>
        <w:rFonts w:ascii="Symbol" w:hAnsi="Symbol" w:hint="default"/>
        <w:color w:val="7FC444"/>
      </w:rPr>
    </w:lvl>
    <w:lvl w:ilvl="1" w:tplc="98E06210" w:tentative="1">
      <w:start w:val="1"/>
      <w:numFmt w:val="bullet"/>
      <w:lvlText w:val="o"/>
      <w:lvlJc w:val="left"/>
      <w:pPr>
        <w:ind w:left="1440" w:hanging="360"/>
      </w:pPr>
      <w:rPr>
        <w:rFonts w:ascii="Courier New" w:hAnsi="Courier New" w:cs="Courier New" w:hint="default"/>
      </w:rPr>
    </w:lvl>
    <w:lvl w:ilvl="2" w:tplc="8BEA1064" w:tentative="1">
      <w:start w:val="1"/>
      <w:numFmt w:val="bullet"/>
      <w:lvlText w:val=""/>
      <w:lvlJc w:val="left"/>
      <w:pPr>
        <w:ind w:left="2160" w:hanging="360"/>
      </w:pPr>
      <w:rPr>
        <w:rFonts w:ascii="Wingdings" w:hAnsi="Wingdings" w:hint="default"/>
      </w:rPr>
    </w:lvl>
    <w:lvl w:ilvl="3" w:tplc="4A307858" w:tentative="1">
      <w:start w:val="1"/>
      <w:numFmt w:val="bullet"/>
      <w:lvlText w:val=""/>
      <w:lvlJc w:val="left"/>
      <w:pPr>
        <w:ind w:left="2880" w:hanging="360"/>
      </w:pPr>
      <w:rPr>
        <w:rFonts w:ascii="Symbol" w:hAnsi="Symbol" w:hint="default"/>
      </w:rPr>
    </w:lvl>
    <w:lvl w:ilvl="4" w:tplc="3AE6071E" w:tentative="1">
      <w:start w:val="1"/>
      <w:numFmt w:val="bullet"/>
      <w:lvlText w:val="o"/>
      <w:lvlJc w:val="left"/>
      <w:pPr>
        <w:ind w:left="3600" w:hanging="360"/>
      </w:pPr>
      <w:rPr>
        <w:rFonts w:ascii="Courier New" w:hAnsi="Courier New" w:cs="Courier New" w:hint="default"/>
      </w:rPr>
    </w:lvl>
    <w:lvl w:ilvl="5" w:tplc="724E8460" w:tentative="1">
      <w:start w:val="1"/>
      <w:numFmt w:val="bullet"/>
      <w:lvlText w:val=""/>
      <w:lvlJc w:val="left"/>
      <w:pPr>
        <w:ind w:left="4320" w:hanging="360"/>
      </w:pPr>
      <w:rPr>
        <w:rFonts w:ascii="Wingdings" w:hAnsi="Wingdings" w:hint="default"/>
      </w:rPr>
    </w:lvl>
    <w:lvl w:ilvl="6" w:tplc="C7523E9C" w:tentative="1">
      <w:start w:val="1"/>
      <w:numFmt w:val="bullet"/>
      <w:lvlText w:val=""/>
      <w:lvlJc w:val="left"/>
      <w:pPr>
        <w:ind w:left="5040" w:hanging="360"/>
      </w:pPr>
      <w:rPr>
        <w:rFonts w:ascii="Symbol" w:hAnsi="Symbol" w:hint="default"/>
      </w:rPr>
    </w:lvl>
    <w:lvl w:ilvl="7" w:tplc="6B88B1D8" w:tentative="1">
      <w:start w:val="1"/>
      <w:numFmt w:val="bullet"/>
      <w:lvlText w:val="o"/>
      <w:lvlJc w:val="left"/>
      <w:pPr>
        <w:ind w:left="5760" w:hanging="360"/>
      </w:pPr>
      <w:rPr>
        <w:rFonts w:ascii="Courier New" w:hAnsi="Courier New" w:cs="Courier New" w:hint="default"/>
      </w:rPr>
    </w:lvl>
    <w:lvl w:ilvl="8" w:tplc="2FC2ABB4" w:tentative="1">
      <w:start w:val="1"/>
      <w:numFmt w:val="bullet"/>
      <w:lvlText w:val=""/>
      <w:lvlJc w:val="left"/>
      <w:pPr>
        <w:ind w:left="6480" w:hanging="360"/>
      </w:pPr>
      <w:rPr>
        <w:rFonts w:ascii="Wingdings" w:hAnsi="Wingdings" w:hint="default"/>
      </w:rPr>
    </w:lvl>
  </w:abstractNum>
  <w:abstractNum w:abstractNumId="10" w15:restartNumberingAfterBreak="0">
    <w:nsid w:val="6E981066"/>
    <w:multiLevelType w:val="hybridMultilevel"/>
    <w:tmpl w:val="29A03522"/>
    <w:lvl w:ilvl="0" w:tplc="F8047626">
      <w:start w:val="1"/>
      <w:numFmt w:val="bullet"/>
      <w:lvlText w:val=""/>
      <w:lvlJc w:val="left"/>
      <w:pPr>
        <w:ind w:left="720" w:hanging="360"/>
      </w:pPr>
      <w:rPr>
        <w:rFonts w:ascii="Symbol" w:hAnsi="Symbol" w:hint="default"/>
        <w:color w:val="7FC444"/>
      </w:rPr>
    </w:lvl>
    <w:lvl w:ilvl="1" w:tplc="10DE6C20" w:tentative="1">
      <w:start w:val="1"/>
      <w:numFmt w:val="bullet"/>
      <w:lvlText w:val="o"/>
      <w:lvlJc w:val="left"/>
      <w:pPr>
        <w:ind w:left="1440" w:hanging="360"/>
      </w:pPr>
      <w:rPr>
        <w:rFonts w:ascii="Courier New" w:hAnsi="Courier New" w:cs="Courier New" w:hint="default"/>
      </w:rPr>
    </w:lvl>
    <w:lvl w:ilvl="2" w:tplc="5F407924" w:tentative="1">
      <w:start w:val="1"/>
      <w:numFmt w:val="bullet"/>
      <w:lvlText w:val=""/>
      <w:lvlJc w:val="left"/>
      <w:pPr>
        <w:ind w:left="2160" w:hanging="360"/>
      </w:pPr>
      <w:rPr>
        <w:rFonts w:ascii="Wingdings" w:hAnsi="Wingdings" w:hint="default"/>
      </w:rPr>
    </w:lvl>
    <w:lvl w:ilvl="3" w:tplc="C5D4CE0A" w:tentative="1">
      <w:start w:val="1"/>
      <w:numFmt w:val="bullet"/>
      <w:lvlText w:val=""/>
      <w:lvlJc w:val="left"/>
      <w:pPr>
        <w:ind w:left="2880" w:hanging="360"/>
      </w:pPr>
      <w:rPr>
        <w:rFonts w:ascii="Symbol" w:hAnsi="Symbol" w:hint="default"/>
      </w:rPr>
    </w:lvl>
    <w:lvl w:ilvl="4" w:tplc="0FB021AA" w:tentative="1">
      <w:start w:val="1"/>
      <w:numFmt w:val="bullet"/>
      <w:lvlText w:val="o"/>
      <w:lvlJc w:val="left"/>
      <w:pPr>
        <w:ind w:left="3600" w:hanging="360"/>
      </w:pPr>
      <w:rPr>
        <w:rFonts w:ascii="Courier New" w:hAnsi="Courier New" w:cs="Courier New" w:hint="default"/>
      </w:rPr>
    </w:lvl>
    <w:lvl w:ilvl="5" w:tplc="E63C2A38" w:tentative="1">
      <w:start w:val="1"/>
      <w:numFmt w:val="bullet"/>
      <w:lvlText w:val=""/>
      <w:lvlJc w:val="left"/>
      <w:pPr>
        <w:ind w:left="4320" w:hanging="360"/>
      </w:pPr>
      <w:rPr>
        <w:rFonts w:ascii="Wingdings" w:hAnsi="Wingdings" w:hint="default"/>
      </w:rPr>
    </w:lvl>
    <w:lvl w:ilvl="6" w:tplc="2D7EA68E" w:tentative="1">
      <w:start w:val="1"/>
      <w:numFmt w:val="bullet"/>
      <w:lvlText w:val=""/>
      <w:lvlJc w:val="left"/>
      <w:pPr>
        <w:ind w:left="5040" w:hanging="360"/>
      </w:pPr>
      <w:rPr>
        <w:rFonts w:ascii="Symbol" w:hAnsi="Symbol" w:hint="default"/>
      </w:rPr>
    </w:lvl>
    <w:lvl w:ilvl="7" w:tplc="13061BC6" w:tentative="1">
      <w:start w:val="1"/>
      <w:numFmt w:val="bullet"/>
      <w:lvlText w:val="o"/>
      <w:lvlJc w:val="left"/>
      <w:pPr>
        <w:ind w:left="5760" w:hanging="360"/>
      </w:pPr>
      <w:rPr>
        <w:rFonts w:ascii="Courier New" w:hAnsi="Courier New" w:cs="Courier New" w:hint="default"/>
      </w:rPr>
    </w:lvl>
    <w:lvl w:ilvl="8" w:tplc="EA741CB8" w:tentative="1">
      <w:start w:val="1"/>
      <w:numFmt w:val="bullet"/>
      <w:lvlText w:val=""/>
      <w:lvlJc w:val="left"/>
      <w:pPr>
        <w:ind w:left="6480" w:hanging="360"/>
      </w:pPr>
      <w:rPr>
        <w:rFonts w:ascii="Wingdings" w:hAnsi="Wingdings" w:hint="default"/>
      </w:rPr>
    </w:lvl>
  </w:abstractNum>
  <w:abstractNum w:abstractNumId="11" w15:restartNumberingAfterBreak="0">
    <w:nsid w:val="7C6872A1"/>
    <w:multiLevelType w:val="hybridMultilevel"/>
    <w:tmpl w:val="700E460A"/>
    <w:lvl w:ilvl="0" w:tplc="0554E448">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43E63298" w:tentative="1">
      <w:start w:val="1"/>
      <w:numFmt w:val="bullet"/>
      <w:lvlText w:val="o"/>
      <w:lvlJc w:val="left"/>
      <w:pPr>
        <w:tabs>
          <w:tab w:val="num" w:pos="1440"/>
        </w:tabs>
        <w:ind w:left="1440" w:hanging="360"/>
      </w:pPr>
      <w:rPr>
        <w:rFonts w:ascii="Courier New" w:hAnsi="Courier New" w:hint="default"/>
      </w:rPr>
    </w:lvl>
    <w:lvl w:ilvl="2" w:tplc="498E284C" w:tentative="1">
      <w:start w:val="1"/>
      <w:numFmt w:val="bullet"/>
      <w:lvlText w:val=""/>
      <w:lvlJc w:val="left"/>
      <w:pPr>
        <w:tabs>
          <w:tab w:val="num" w:pos="2160"/>
        </w:tabs>
        <w:ind w:left="2160" w:hanging="360"/>
      </w:pPr>
      <w:rPr>
        <w:rFonts w:ascii="Wingdings" w:hAnsi="Wingdings" w:hint="default"/>
      </w:rPr>
    </w:lvl>
    <w:lvl w:ilvl="3" w:tplc="4E3A83BE" w:tentative="1">
      <w:start w:val="1"/>
      <w:numFmt w:val="bullet"/>
      <w:lvlText w:val=""/>
      <w:lvlJc w:val="left"/>
      <w:pPr>
        <w:tabs>
          <w:tab w:val="num" w:pos="2880"/>
        </w:tabs>
        <w:ind w:left="2880" w:hanging="360"/>
      </w:pPr>
      <w:rPr>
        <w:rFonts w:ascii="Symbol" w:hAnsi="Symbol" w:hint="default"/>
      </w:rPr>
    </w:lvl>
    <w:lvl w:ilvl="4" w:tplc="A09269F6" w:tentative="1">
      <w:start w:val="1"/>
      <w:numFmt w:val="bullet"/>
      <w:lvlText w:val="o"/>
      <w:lvlJc w:val="left"/>
      <w:pPr>
        <w:tabs>
          <w:tab w:val="num" w:pos="3600"/>
        </w:tabs>
        <w:ind w:left="3600" w:hanging="360"/>
      </w:pPr>
      <w:rPr>
        <w:rFonts w:ascii="Courier New" w:hAnsi="Courier New" w:hint="default"/>
      </w:rPr>
    </w:lvl>
    <w:lvl w:ilvl="5" w:tplc="981E1BEC" w:tentative="1">
      <w:start w:val="1"/>
      <w:numFmt w:val="bullet"/>
      <w:lvlText w:val=""/>
      <w:lvlJc w:val="left"/>
      <w:pPr>
        <w:tabs>
          <w:tab w:val="num" w:pos="4320"/>
        </w:tabs>
        <w:ind w:left="4320" w:hanging="360"/>
      </w:pPr>
      <w:rPr>
        <w:rFonts w:ascii="Wingdings" w:hAnsi="Wingdings" w:hint="default"/>
      </w:rPr>
    </w:lvl>
    <w:lvl w:ilvl="6" w:tplc="8EB0694A" w:tentative="1">
      <w:start w:val="1"/>
      <w:numFmt w:val="bullet"/>
      <w:lvlText w:val=""/>
      <w:lvlJc w:val="left"/>
      <w:pPr>
        <w:tabs>
          <w:tab w:val="num" w:pos="5040"/>
        </w:tabs>
        <w:ind w:left="5040" w:hanging="360"/>
      </w:pPr>
      <w:rPr>
        <w:rFonts w:ascii="Symbol" w:hAnsi="Symbol" w:hint="default"/>
      </w:rPr>
    </w:lvl>
    <w:lvl w:ilvl="7" w:tplc="D96825D4" w:tentative="1">
      <w:start w:val="1"/>
      <w:numFmt w:val="bullet"/>
      <w:lvlText w:val="o"/>
      <w:lvlJc w:val="left"/>
      <w:pPr>
        <w:tabs>
          <w:tab w:val="num" w:pos="5760"/>
        </w:tabs>
        <w:ind w:left="5760" w:hanging="360"/>
      </w:pPr>
      <w:rPr>
        <w:rFonts w:ascii="Courier New" w:hAnsi="Courier New" w:hint="default"/>
      </w:rPr>
    </w:lvl>
    <w:lvl w:ilvl="8" w:tplc="A746AC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F54B2"/>
    <w:multiLevelType w:val="hybridMultilevel"/>
    <w:tmpl w:val="75B62ACE"/>
    <w:lvl w:ilvl="0" w:tplc="7D14FF5C">
      <w:start w:val="1"/>
      <w:numFmt w:val="decimal"/>
      <w:lvlText w:val="%1."/>
      <w:lvlJc w:val="left"/>
      <w:pPr>
        <w:ind w:left="720" w:hanging="360"/>
      </w:pPr>
    </w:lvl>
    <w:lvl w:ilvl="1" w:tplc="F1EECB20" w:tentative="1">
      <w:start w:val="1"/>
      <w:numFmt w:val="lowerLetter"/>
      <w:lvlText w:val="%2."/>
      <w:lvlJc w:val="left"/>
      <w:pPr>
        <w:ind w:left="1440" w:hanging="360"/>
      </w:pPr>
    </w:lvl>
    <w:lvl w:ilvl="2" w:tplc="20023228" w:tentative="1">
      <w:start w:val="1"/>
      <w:numFmt w:val="lowerRoman"/>
      <w:lvlText w:val="%3."/>
      <w:lvlJc w:val="right"/>
      <w:pPr>
        <w:ind w:left="2160" w:hanging="180"/>
      </w:pPr>
    </w:lvl>
    <w:lvl w:ilvl="3" w:tplc="9A66D052" w:tentative="1">
      <w:start w:val="1"/>
      <w:numFmt w:val="decimal"/>
      <w:lvlText w:val="%4."/>
      <w:lvlJc w:val="left"/>
      <w:pPr>
        <w:ind w:left="2880" w:hanging="360"/>
      </w:pPr>
    </w:lvl>
    <w:lvl w:ilvl="4" w:tplc="64E28CCA" w:tentative="1">
      <w:start w:val="1"/>
      <w:numFmt w:val="lowerLetter"/>
      <w:lvlText w:val="%5."/>
      <w:lvlJc w:val="left"/>
      <w:pPr>
        <w:ind w:left="3600" w:hanging="360"/>
      </w:pPr>
    </w:lvl>
    <w:lvl w:ilvl="5" w:tplc="9F58787C" w:tentative="1">
      <w:start w:val="1"/>
      <w:numFmt w:val="lowerRoman"/>
      <w:lvlText w:val="%6."/>
      <w:lvlJc w:val="right"/>
      <w:pPr>
        <w:ind w:left="4320" w:hanging="180"/>
      </w:pPr>
    </w:lvl>
    <w:lvl w:ilvl="6" w:tplc="B92C7AC8" w:tentative="1">
      <w:start w:val="1"/>
      <w:numFmt w:val="decimal"/>
      <w:lvlText w:val="%7."/>
      <w:lvlJc w:val="left"/>
      <w:pPr>
        <w:ind w:left="5040" w:hanging="360"/>
      </w:pPr>
    </w:lvl>
    <w:lvl w:ilvl="7" w:tplc="B9346F0E" w:tentative="1">
      <w:start w:val="1"/>
      <w:numFmt w:val="lowerLetter"/>
      <w:lvlText w:val="%8."/>
      <w:lvlJc w:val="left"/>
      <w:pPr>
        <w:ind w:left="5760" w:hanging="360"/>
      </w:pPr>
    </w:lvl>
    <w:lvl w:ilvl="8" w:tplc="C98A43F8"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4"/>
  </w:num>
  <w:num w:numId="6">
    <w:abstractNumId w:val="2"/>
  </w:num>
  <w:num w:numId="7">
    <w:abstractNumId w:val="3"/>
  </w:num>
  <w:num w:numId="8">
    <w:abstractNumId w:val="8"/>
  </w:num>
  <w:num w:numId="9">
    <w:abstractNumId w:val="12"/>
  </w:num>
  <w:num w:numId="10">
    <w:abstractNumId w:val="6"/>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98"/>
    <w:rsid w:val="00511E98"/>
    <w:rsid w:val="007F4334"/>
    <w:rsid w:val="009B0817"/>
    <w:rsid w:val="00AC6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8B5C57"/>
  <w15:docId w15:val="{1F8845E6-9A58-4589-AE51-DC3156C2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 w:type="character" w:styleId="Hyperlink">
    <w:name w:val="Hyperlink"/>
    <w:basedOn w:val="DefaultParagraphFont"/>
    <w:uiPriority w:val="99"/>
    <w:unhideWhenUsed/>
    <w:rsid w:val="003249A9"/>
    <w:rPr>
      <w:color w:val="0000FF" w:themeColor="hyperlink"/>
      <w:u w:val="single"/>
    </w:rPr>
  </w:style>
  <w:style w:type="paragraph" w:styleId="FootnoteText">
    <w:name w:val="footnote text"/>
    <w:basedOn w:val="Normal"/>
    <w:link w:val="FootnoteTextChar"/>
    <w:uiPriority w:val="99"/>
    <w:semiHidden/>
    <w:unhideWhenUsed/>
    <w:rsid w:val="00324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9A9"/>
    <w:rPr>
      <w:sz w:val="20"/>
      <w:szCs w:val="20"/>
    </w:rPr>
  </w:style>
  <w:style w:type="character" w:styleId="FootnoteReference">
    <w:name w:val="footnote reference"/>
    <w:basedOn w:val="DefaultParagraphFont"/>
    <w:uiPriority w:val="99"/>
    <w:semiHidden/>
    <w:unhideWhenUsed/>
    <w:rsid w:val="003249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Michael.johnson@southribbl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Howard.anthony@southribble.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5228649-E147-4AB4-B219-F8F07207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3</cp:revision>
  <cp:lastPrinted>2014-03-21T13:56:00Z</cp:lastPrinted>
  <dcterms:created xsi:type="dcterms:W3CDTF">2021-09-07T08:34:00Z</dcterms:created>
  <dcterms:modified xsi:type="dcterms:W3CDTF">2021-09-07T08:41:00Z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Informal Cabinet Briefing</vt:lpwstr>
  </property>
  <property fmtid="{D5CDD505-2E9C-101B-9397-08002B2CF9AE}" pid="3" name="IssueTitle">
    <vt:lpwstr>Quarter 1 Performance Monitoring Report 2021-22</vt:lpwstr>
  </property>
  <property fmtid="{D5CDD505-2E9C-101B-9397-08002B2CF9AE}" pid="4" name="LeadDirector">
    <vt:lpwstr>Deputy Chief Executive</vt:lpwstr>
  </property>
  <property fmtid="{D5CDD505-2E9C-101B-9397-08002B2CF9AE}" pid="5" name="LeadMember">
    <vt:lpwstr>Leader of the Council and Cabinet Member (Strategy and Reform)</vt:lpwstr>
  </property>
  <property fmtid="{D5CDD505-2E9C-101B-9397-08002B2CF9AE}" pid="6" name="LeadOfficer">
    <vt:lpwstr>Howard Anthony</vt:lpwstr>
  </property>
  <property fmtid="{D5CDD505-2E9C-101B-9397-08002B2CF9AE}" pid="7" name="LeadOfficerEmail">
    <vt:lpwstr>howard.anthony@southribble.gov.uk</vt:lpwstr>
  </property>
  <property fmtid="{D5CDD505-2E9C-101B-9397-08002B2CF9AE}" pid="8" name="LeadOfficerPost">
    <vt:lpwstr>South Ribble Partnership Manager</vt:lpwstr>
  </property>
  <property fmtid="{D5CDD505-2E9C-101B-9397-08002B2CF9AE}" pid="9" name="MeetingDate">
    <vt:lpwstr>Thursday, 2 September 2021</vt:lpwstr>
  </property>
  <property fmtid="{D5CDD505-2E9C-101B-9397-08002B2CF9AE}" pid="10" name="MeetingDateLegal">
    <vt:lpwstr>MeetingDateLegal</vt:lpwstr>
  </property>
</Properties>
</file>