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63605235" w:rsidR="004D5C05" w:rsidRPr="0090147B" w:rsidRDefault="0037581E" w:rsidP="00A715AD">
      <w:pPr>
        <w:pStyle w:val="Heading1"/>
        <w:rPr>
          <w:rFonts w:ascii="Arial" w:hAnsi="Arial" w:cs="Arial"/>
          <w:b/>
          <w:bCs/>
          <w:color w:val="auto"/>
          <w:sz w:val="22"/>
          <w:szCs w:val="22"/>
        </w:rPr>
      </w:pPr>
      <w:r w:rsidRPr="0090147B">
        <w:rPr>
          <w:rFonts w:ascii="Arial" w:hAnsi="Arial" w:cs="Arial"/>
          <w:b/>
          <w:bCs/>
          <w:color w:val="auto"/>
          <w:sz w:val="22"/>
          <w:szCs w:val="22"/>
        </w:rPr>
        <w:t>Report of Cabinet</w:t>
      </w:r>
    </w:p>
    <w:p w14:paraId="013EAB80" w14:textId="77777777" w:rsidR="00A715AD" w:rsidRPr="0090147B" w:rsidRDefault="00A715AD" w:rsidP="00A715AD">
      <w:pPr>
        <w:rPr>
          <w:rFonts w:ascii="Arial" w:hAnsi="Arial" w:cs="Arial"/>
        </w:rPr>
      </w:pPr>
    </w:p>
    <w:p w14:paraId="5433B1E2" w14:textId="4F1C7282" w:rsidR="0037581E" w:rsidRPr="0090147B" w:rsidRDefault="0037581E" w:rsidP="0037581E">
      <w:pPr>
        <w:pStyle w:val="ListParagraph"/>
        <w:numPr>
          <w:ilvl w:val="0"/>
          <w:numId w:val="1"/>
        </w:numPr>
        <w:rPr>
          <w:rFonts w:ascii="Arial" w:hAnsi="Arial" w:cs="Arial"/>
        </w:rPr>
      </w:pPr>
      <w:r w:rsidRPr="0090147B">
        <w:rPr>
          <w:rFonts w:ascii="Arial" w:hAnsi="Arial" w:cs="Arial"/>
        </w:rPr>
        <w:t>Any Cabinet recommendations on the reports that require a decision by full Council appear as separate items on the agenda.</w:t>
      </w:r>
    </w:p>
    <w:p w14:paraId="5A43BA94" w14:textId="5B013610" w:rsidR="00EF09C7" w:rsidRPr="0090147B" w:rsidRDefault="0037581E" w:rsidP="00A715AD">
      <w:pPr>
        <w:pStyle w:val="Heading2"/>
        <w:rPr>
          <w:sz w:val="22"/>
          <w:szCs w:val="22"/>
        </w:rPr>
      </w:pPr>
      <w:bookmarkStart w:id="0" w:name="_Hlk56155553"/>
      <w:r w:rsidRPr="0090147B">
        <w:rPr>
          <w:sz w:val="22"/>
          <w:szCs w:val="22"/>
        </w:rPr>
        <w:t>G</w:t>
      </w:r>
      <w:r w:rsidR="00736D83" w:rsidRPr="0090147B">
        <w:rPr>
          <w:sz w:val="22"/>
          <w:szCs w:val="22"/>
        </w:rPr>
        <w:t xml:space="preserve">eneral Report of the Cabinet for the meeting held on Wednesday </w:t>
      </w:r>
      <w:r w:rsidR="00EF09C7" w:rsidRPr="0090147B">
        <w:rPr>
          <w:sz w:val="22"/>
          <w:szCs w:val="22"/>
        </w:rPr>
        <w:t>24 M</w:t>
      </w:r>
      <w:r w:rsidR="00736D83" w:rsidRPr="0090147B">
        <w:rPr>
          <w:sz w:val="22"/>
          <w:szCs w:val="22"/>
        </w:rPr>
        <w:t>arch</w:t>
      </w:r>
      <w:r w:rsidR="00EF09C7" w:rsidRPr="0090147B">
        <w:rPr>
          <w:sz w:val="22"/>
          <w:szCs w:val="22"/>
        </w:rPr>
        <w:t xml:space="preserve"> </w:t>
      </w:r>
      <w:r w:rsidR="001F229A" w:rsidRPr="0090147B">
        <w:rPr>
          <w:sz w:val="22"/>
          <w:szCs w:val="22"/>
        </w:rPr>
        <w:t>2021</w:t>
      </w:r>
    </w:p>
    <w:bookmarkEnd w:id="0"/>
    <w:p w14:paraId="66CFE876" w14:textId="1F2EA98C" w:rsidR="00644C50" w:rsidRPr="0090147B" w:rsidRDefault="00EF09C7" w:rsidP="00A715AD">
      <w:pPr>
        <w:pStyle w:val="Heading2"/>
        <w:rPr>
          <w:sz w:val="22"/>
          <w:szCs w:val="22"/>
        </w:rPr>
      </w:pPr>
      <w:r w:rsidRPr="0090147B">
        <w:rPr>
          <w:sz w:val="22"/>
          <w:szCs w:val="22"/>
        </w:rPr>
        <w:t>C</w:t>
      </w:r>
      <w:r w:rsidR="006E40CA" w:rsidRPr="0090147B">
        <w:rPr>
          <w:sz w:val="22"/>
          <w:szCs w:val="22"/>
        </w:rPr>
        <w:t>abinet Forward Plan</w:t>
      </w:r>
      <w:r w:rsidRPr="0090147B">
        <w:rPr>
          <w:sz w:val="22"/>
          <w:szCs w:val="22"/>
        </w:rPr>
        <w:t xml:space="preserve"> 1 March 2021 – 28 February 2022</w:t>
      </w:r>
    </w:p>
    <w:p w14:paraId="732F64DE" w14:textId="1C12D4E2" w:rsidR="00580D38" w:rsidRPr="0090147B" w:rsidRDefault="000D77CC" w:rsidP="001F229A">
      <w:pPr>
        <w:keepNext/>
        <w:spacing w:after="0" w:line="252" w:lineRule="auto"/>
        <w:rPr>
          <w:rFonts w:ascii="Arial" w:hAnsi="Arial" w:cs="Arial"/>
          <w:b/>
        </w:rPr>
      </w:pPr>
      <w:r w:rsidRPr="0090147B">
        <w:rPr>
          <w:rFonts w:ascii="Arial" w:eastAsia="Times New Roman" w:hAnsi="Arial" w:cs="Arial"/>
          <w:lang w:eastAsia="en-GB"/>
        </w:rPr>
        <w:t xml:space="preserve"> </w:t>
      </w:r>
    </w:p>
    <w:p w14:paraId="6424834D" w14:textId="1CC28638" w:rsidR="00EF09C7" w:rsidRPr="0090147B" w:rsidRDefault="00EF09C7" w:rsidP="00EF09C7">
      <w:pPr>
        <w:pStyle w:val="ListParagraph"/>
        <w:numPr>
          <w:ilvl w:val="0"/>
          <w:numId w:val="1"/>
        </w:numPr>
        <w:tabs>
          <w:tab w:val="left" w:pos="567"/>
        </w:tabs>
        <w:spacing w:after="0" w:line="264" w:lineRule="auto"/>
        <w:rPr>
          <w:rFonts w:ascii="Arial" w:eastAsia="Calibri" w:hAnsi="Arial" w:cs="Arial"/>
          <w:lang w:eastAsia="en-GB"/>
        </w:rPr>
      </w:pPr>
      <w:r w:rsidRPr="0090147B">
        <w:rPr>
          <w:rFonts w:ascii="Arial" w:eastAsia="Calibri" w:hAnsi="Arial" w:cs="Arial"/>
          <w:lang w:eastAsia="en-GB"/>
        </w:rPr>
        <w:t xml:space="preserve">When considering the statutory Cabinet Forward Plan which </w:t>
      </w:r>
      <w:r w:rsidR="00E33C5B" w:rsidRPr="0090147B">
        <w:rPr>
          <w:rFonts w:ascii="Arial" w:eastAsia="Calibri" w:hAnsi="Arial" w:cs="Arial"/>
          <w:lang w:eastAsia="en-GB"/>
        </w:rPr>
        <w:t>had been</w:t>
      </w:r>
      <w:r w:rsidRPr="0090147B">
        <w:rPr>
          <w:rFonts w:ascii="Arial" w:eastAsia="Calibri" w:hAnsi="Arial" w:cs="Arial"/>
          <w:lang w:eastAsia="en-GB"/>
        </w:rPr>
        <w:t xml:space="preserve"> submitted for information</w:t>
      </w:r>
      <w:r w:rsidR="00E33C5B" w:rsidRPr="0090147B">
        <w:rPr>
          <w:rFonts w:ascii="Arial" w:eastAsia="Calibri" w:hAnsi="Arial" w:cs="Arial"/>
          <w:lang w:eastAsia="en-GB"/>
        </w:rPr>
        <w:t>,</w:t>
      </w:r>
      <w:r w:rsidRPr="0090147B">
        <w:rPr>
          <w:rFonts w:ascii="Arial" w:eastAsia="Calibri" w:hAnsi="Arial" w:cs="Arial"/>
          <w:lang w:eastAsia="en-GB"/>
        </w:rPr>
        <w:t xml:space="preserve"> reference </w:t>
      </w:r>
      <w:r w:rsidR="00E33C5B" w:rsidRPr="0090147B">
        <w:rPr>
          <w:rFonts w:ascii="Arial" w:eastAsia="Calibri" w:hAnsi="Arial" w:cs="Arial"/>
          <w:lang w:eastAsia="en-GB"/>
        </w:rPr>
        <w:t xml:space="preserve">was made </w:t>
      </w:r>
      <w:r w:rsidRPr="0090147B">
        <w:rPr>
          <w:rFonts w:ascii="Arial" w:eastAsia="Calibri" w:hAnsi="Arial" w:cs="Arial"/>
          <w:lang w:eastAsia="en-GB"/>
        </w:rPr>
        <w:t xml:space="preserve">to </w:t>
      </w:r>
      <w:r w:rsidRPr="0090147B">
        <w:rPr>
          <w:rFonts w:ascii="Arial" w:hAnsi="Arial" w:cs="Arial"/>
        </w:rPr>
        <w:t>the three Lead Members appointed at Council on 27 January 2021 – Lead Member for Youth and Mental Health Awareness; Lead Member for Social Equality and Justice; and Lead Member for Climate Change who would</w:t>
      </w:r>
      <w:r w:rsidR="00E33C5B" w:rsidRPr="0090147B">
        <w:rPr>
          <w:rFonts w:ascii="Arial" w:hAnsi="Arial" w:cs="Arial"/>
        </w:rPr>
        <w:t xml:space="preserve"> be</w:t>
      </w:r>
      <w:r w:rsidRPr="0090147B">
        <w:rPr>
          <w:rFonts w:ascii="Arial" w:hAnsi="Arial" w:cs="Arial"/>
        </w:rPr>
        <w:t xml:space="preserve"> support</w:t>
      </w:r>
      <w:r w:rsidR="00E33C5B" w:rsidRPr="0090147B">
        <w:rPr>
          <w:rFonts w:ascii="Arial" w:hAnsi="Arial" w:cs="Arial"/>
        </w:rPr>
        <w:t>ing</w:t>
      </w:r>
      <w:r w:rsidRPr="0090147B">
        <w:rPr>
          <w:rFonts w:ascii="Arial" w:hAnsi="Arial" w:cs="Arial"/>
        </w:rPr>
        <w:t xml:space="preserve"> Cabinet Members in their work</w:t>
      </w:r>
      <w:r w:rsidR="006E40CA" w:rsidRPr="0090147B">
        <w:rPr>
          <w:rFonts w:ascii="Arial" w:hAnsi="Arial" w:cs="Arial"/>
        </w:rPr>
        <w:t>.</w:t>
      </w:r>
    </w:p>
    <w:p w14:paraId="4FECD3FA" w14:textId="77777777" w:rsidR="006E40CA" w:rsidRPr="0090147B" w:rsidRDefault="006E40CA" w:rsidP="006E40CA">
      <w:pPr>
        <w:pStyle w:val="ListParagraph"/>
        <w:tabs>
          <w:tab w:val="left" w:pos="567"/>
        </w:tabs>
        <w:spacing w:after="0" w:line="264" w:lineRule="auto"/>
        <w:ind w:left="644"/>
        <w:rPr>
          <w:rFonts w:ascii="Arial" w:eastAsia="Calibri" w:hAnsi="Arial" w:cs="Arial"/>
          <w:lang w:eastAsia="en-GB"/>
        </w:rPr>
      </w:pPr>
    </w:p>
    <w:p w14:paraId="4593B26D" w14:textId="3EA52DC4" w:rsidR="00EF09C7" w:rsidRPr="0090147B" w:rsidRDefault="00EF09C7" w:rsidP="00EF09C7">
      <w:pPr>
        <w:numPr>
          <w:ilvl w:val="0"/>
          <w:numId w:val="1"/>
        </w:numPr>
        <w:spacing w:after="0" w:line="240" w:lineRule="auto"/>
        <w:contextualSpacing/>
        <w:rPr>
          <w:rFonts w:ascii="Arial" w:eastAsia="Times New Roman" w:hAnsi="Arial" w:cs="Arial"/>
          <w:lang w:eastAsia="en-GB"/>
        </w:rPr>
      </w:pPr>
      <w:r w:rsidRPr="0090147B">
        <w:rPr>
          <w:rFonts w:ascii="Arial" w:eastAsia="Times New Roman" w:hAnsi="Arial" w:cs="Arial"/>
          <w:lang w:eastAsia="en-GB"/>
        </w:rPr>
        <w:t xml:space="preserve">It was </w:t>
      </w:r>
      <w:r w:rsidR="006E40CA" w:rsidRPr="0090147B">
        <w:rPr>
          <w:rFonts w:ascii="Arial" w:eastAsia="Times New Roman" w:hAnsi="Arial" w:cs="Arial"/>
          <w:lang w:eastAsia="en-GB"/>
        </w:rPr>
        <w:t xml:space="preserve">therefore </w:t>
      </w:r>
      <w:r w:rsidRPr="0090147B">
        <w:rPr>
          <w:rFonts w:ascii="Arial" w:eastAsia="Times New Roman" w:hAnsi="Arial" w:cs="Arial"/>
          <w:lang w:eastAsia="en-GB"/>
        </w:rPr>
        <w:t>agreed that the new Lead Members be invited to speak at Cabinet about their remit, make regular reports on their work and that this be incorporated in the Cabinet Forward Plan.</w:t>
      </w:r>
    </w:p>
    <w:p w14:paraId="61D97F3C" w14:textId="337510E6" w:rsidR="006E40CA" w:rsidRPr="0090147B" w:rsidRDefault="006E40CA" w:rsidP="00A715AD">
      <w:pPr>
        <w:pStyle w:val="Heading2"/>
        <w:rPr>
          <w:rFonts w:eastAsia="Times New Roman"/>
          <w:sz w:val="22"/>
          <w:szCs w:val="22"/>
        </w:rPr>
      </w:pPr>
      <w:r w:rsidRPr="0090147B">
        <w:rPr>
          <w:rFonts w:eastAsia="Times New Roman"/>
          <w:sz w:val="22"/>
          <w:szCs w:val="22"/>
        </w:rPr>
        <w:t>Quarter 3 (October - December) Performance Monitoring Report 2020-21</w:t>
      </w:r>
    </w:p>
    <w:p w14:paraId="4E30CA73" w14:textId="77777777" w:rsidR="00EF09C7" w:rsidRPr="0090147B" w:rsidRDefault="00EF09C7" w:rsidP="00EF09C7">
      <w:pPr>
        <w:spacing w:after="0" w:line="240" w:lineRule="auto"/>
        <w:rPr>
          <w:rFonts w:ascii="Arial" w:eastAsia="Times New Roman" w:hAnsi="Arial" w:cs="Arial"/>
          <w:lang w:eastAsia="en-GB"/>
        </w:rPr>
      </w:pPr>
    </w:p>
    <w:p w14:paraId="2A65A2B7" w14:textId="0F1F8804" w:rsidR="006E40CA" w:rsidRPr="0090147B" w:rsidRDefault="006E40CA" w:rsidP="0030672E">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 xml:space="preserve">Cabinet considered a report of the Deputy Chief Executive </w:t>
      </w:r>
      <w:r w:rsidR="002558E0" w:rsidRPr="0090147B">
        <w:rPr>
          <w:rFonts w:ascii="Arial" w:eastAsia="Times New Roman" w:hAnsi="Arial" w:cs="Arial"/>
          <w:lang w:eastAsia="en-GB"/>
        </w:rPr>
        <w:t>which provided</w:t>
      </w:r>
      <w:r w:rsidRPr="0090147B">
        <w:rPr>
          <w:rFonts w:ascii="Arial" w:eastAsia="Times New Roman" w:hAnsi="Arial" w:cs="Arial"/>
          <w:lang w:eastAsia="en-GB"/>
        </w:rPr>
        <w:t xml:space="preserve"> members with a position statement for the Corporate Strategy for Quarter 3 (October – December) 2020/21. Cabinet also gave consideration to the recommendations of the Scrutiny Budget and Performance Panel made at its meeting on 22 March 2021, as follows:</w:t>
      </w:r>
    </w:p>
    <w:p w14:paraId="18200C77" w14:textId="77777777" w:rsidR="006E40CA" w:rsidRPr="0090147B" w:rsidRDefault="006E40CA" w:rsidP="006E40CA">
      <w:pPr>
        <w:spacing w:after="0" w:line="240" w:lineRule="auto"/>
        <w:rPr>
          <w:rFonts w:ascii="Arial" w:eastAsia="Times New Roman" w:hAnsi="Arial" w:cs="Arial"/>
          <w:lang w:eastAsia="en-GB"/>
        </w:rPr>
      </w:pPr>
    </w:p>
    <w:p w14:paraId="208AFDBC" w14:textId="77777777" w:rsidR="006E40CA" w:rsidRPr="0090147B" w:rsidRDefault="006E40CA" w:rsidP="006E40CA">
      <w:pPr>
        <w:autoSpaceDE w:val="0"/>
        <w:autoSpaceDN w:val="0"/>
        <w:adjustRightInd w:val="0"/>
        <w:spacing w:after="0" w:line="240" w:lineRule="auto"/>
        <w:ind w:firstLine="284"/>
        <w:rPr>
          <w:rFonts w:ascii="Arial" w:eastAsia="Times New Roman" w:hAnsi="Arial" w:cs="Arial"/>
          <w:color w:val="000000"/>
          <w:lang w:eastAsia="en-GB"/>
        </w:rPr>
      </w:pPr>
      <w:r w:rsidRPr="0090147B">
        <w:rPr>
          <w:rFonts w:ascii="Arial" w:eastAsia="Times New Roman" w:hAnsi="Arial" w:cs="Arial"/>
          <w:color w:val="000000"/>
          <w:lang w:eastAsia="en-GB"/>
        </w:rPr>
        <w:t xml:space="preserve">The Scrutiny Panel: </w:t>
      </w:r>
    </w:p>
    <w:p w14:paraId="0F34DA3C" w14:textId="77777777" w:rsidR="006E40CA" w:rsidRPr="0090147B" w:rsidRDefault="006E40CA" w:rsidP="006E40CA">
      <w:pPr>
        <w:autoSpaceDE w:val="0"/>
        <w:autoSpaceDN w:val="0"/>
        <w:adjustRightInd w:val="0"/>
        <w:spacing w:after="0" w:line="240" w:lineRule="auto"/>
        <w:rPr>
          <w:rFonts w:ascii="Arial" w:eastAsia="Times New Roman" w:hAnsi="Arial" w:cs="Arial"/>
          <w:color w:val="000000"/>
          <w:lang w:eastAsia="en-GB"/>
        </w:rPr>
      </w:pPr>
    </w:p>
    <w:p w14:paraId="79A4E777" w14:textId="62621504" w:rsidR="006E40CA" w:rsidRPr="0090147B" w:rsidRDefault="006E40CA" w:rsidP="002A0192">
      <w:pPr>
        <w:autoSpaceDE w:val="0"/>
        <w:autoSpaceDN w:val="0"/>
        <w:adjustRightInd w:val="0"/>
        <w:spacing w:after="0" w:line="240" w:lineRule="auto"/>
        <w:ind w:left="716" w:hanging="432"/>
        <w:rPr>
          <w:rFonts w:ascii="Arial" w:eastAsia="Times New Roman" w:hAnsi="Arial" w:cs="Arial"/>
          <w:color w:val="000000"/>
          <w:lang w:eastAsia="en-GB"/>
        </w:rPr>
      </w:pPr>
      <w:r w:rsidRPr="0090147B">
        <w:rPr>
          <w:rFonts w:ascii="Arial" w:eastAsia="Times New Roman" w:hAnsi="Arial" w:cs="Arial"/>
          <w:color w:val="000000"/>
          <w:lang w:eastAsia="en-GB"/>
        </w:rPr>
        <w:t>1</w:t>
      </w:r>
      <w:r w:rsidR="007068A5" w:rsidRPr="0090147B">
        <w:rPr>
          <w:rFonts w:ascii="Arial" w:eastAsia="Times New Roman" w:hAnsi="Arial" w:cs="Arial"/>
          <w:color w:val="000000"/>
          <w:lang w:eastAsia="en-GB"/>
        </w:rPr>
        <w:t>)</w:t>
      </w:r>
      <w:r w:rsidRPr="0090147B">
        <w:rPr>
          <w:rFonts w:ascii="Arial" w:eastAsia="Times New Roman" w:hAnsi="Arial" w:cs="Arial"/>
          <w:color w:val="000000"/>
          <w:lang w:eastAsia="en-GB"/>
        </w:rPr>
        <w:t xml:space="preserve"> </w:t>
      </w:r>
      <w:r w:rsidR="002A0192" w:rsidRPr="0090147B">
        <w:rPr>
          <w:rFonts w:ascii="Arial" w:eastAsia="Times New Roman" w:hAnsi="Arial" w:cs="Arial"/>
          <w:color w:val="000000"/>
          <w:lang w:eastAsia="en-GB"/>
        </w:rPr>
        <w:tab/>
      </w:r>
      <w:r w:rsidRPr="0090147B">
        <w:rPr>
          <w:rFonts w:ascii="Arial" w:eastAsia="Times New Roman" w:hAnsi="Arial" w:cs="Arial"/>
          <w:color w:val="000000"/>
          <w:lang w:eastAsia="en-GB"/>
        </w:rPr>
        <w:t xml:space="preserve">thanks the Leader and Shared Services Lead for attending and answering its questions; </w:t>
      </w:r>
    </w:p>
    <w:p w14:paraId="22B6D6DD" w14:textId="67CD1411" w:rsidR="006E40CA" w:rsidRPr="0090147B" w:rsidRDefault="006E40CA" w:rsidP="006E40CA">
      <w:pPr>
        <w:autoSpaceDE w:val="0"/>
        <w:autoSpaceDN w:val="0"/>
        <w:adjustRightInd w:val="0"/>
        <w:spacing w:after="0" w:line="240" w:lineRule="auto"/>
        <w:ind w:firstLine="284"/>
        <w:rPr>
          <w:rFonts w:ascii="Arial" w:eastAsia="Times New Roman" w:hAnsi="Arial" w:cs="Arial"/>
          <w:color w:val="000000"/>
          <w:lang w:eastAsia="en-GB"/>
        </w:rPr>
      </w:pPr>
      <w:r w:rsidRPr="0090147B">
        <w:rPr>
          <w:rFonts w:ascii="Arial" w:eastAsia="Times New Roman" w:hAnsi="Arial" w:cs="Arial"/>
          <w:color w:val="000000"/>
          <w:lang w:eastAsia="en-GB"/>
        </w:rPr>
        <w:t>2</w:t>
      </w:r>
      <w:r w:rsidR="007068A5" w:rsidRPr="0090147B">
        <w:rPr>
          <w:rFonts w:ascii="Arial" w:eastAsia="Times New Roman" w:hAnsi="Arial" w:cs="Arial"/>
          <w:color w:val="000000"/>
          <w:lang w:eastAsia="en-GB"/>
        </w:rPr>
        <w:t>)</w:t>
      </w:r>
      <w:r w:rsidRPr="0090147B">
        <w:rPr>
          <w:rFonts w:ascii="Arial" w:eastAsia="Times New Roman" w:hAnsi="Arial" w:cs="Arial"/>
          <w:color w:val="000000"/>
          <w:lang w:eastAsia="en-GB"/>
        </w:rPr>
        <w:t xml:space="preserve"> </w:t>
      </w:r>
      <w:r w:rsidR="002A0192" w:rsidRPr="0090147B">
        <w:rPr>
          <w:rFonts w:ascii="Arial" w:eastAsia="Times New Roman" w:hAnsi="Arial" w:cs="Arial"/>
          <w:color w:val="000000"/>
          <w:lang w:eastAsia="en-GB"/>
        </w:rPr>
        <w:tab/>
      </w:r>
      <w:r w:rsidRPr="0090147B">
        <w:rPr>
          <w:rFonts w:ascii="Arial" w:eastAsia="Times New Roman" w:hAnsi="Arial" w:cs="Arial"/>
          <w:color w:val="000000"/>
          <w:lang w:eastAsia="en-GB"/>
        </w:rPr>
        <w:t xml:space="preserve">commends the council’s performance at the end of Quarter 3; </w:t>
      </w:r>
    </w:p>
    <w:p w14:paraId="32DEF54B" w14:textId="4187BEC5" w:rsidR="006E40CA" w:rsidRPr="0090147B" w:rsidRDefault="006E40CA" w:rsidP="002A0192">
      <w:pPr>
        <w:autoSpaceDE w:val="0"/>
        <w:autoSpaceDN w:val="0"/>
        <w:adjustRightInd w:val="0"/>
        <w:spacing w:after="0" w:line="240" w:lineRule="auto"/>
        <w:ind w:left="716" w:hanging="432"/>
        <w:rPr>
          <w:rFonts w:ascii="Arial" w:eastAsia="Times New Roman" w:hAnsi="Arial" w:cs="Arial"/>
          <w:color w:val="000000"/>
          <w:lang w:eastAsia="en-GB"/>
        </w:rPr>
      </w:pPr>
      <w:r w:rsidRPr="0090147B">
        <w:rPr>
          <w:rFonts w:ascii="Arial" w:eastAsia="Times New Roman" w:hAnsi="Arial" w:cs="Arial"/>
          <w:color w:val="000000"/>
          <w:lang w:eastAsia="en-GB"/>
        </w:rPr>
        <w:t>3</w:t>
      </w:r>
      <w:r w:rsidR="007068A5" w:rsidRPr="0090147B">
        <w:rPr>
          <w:rFonts w:ascii="Arial" w:eastAsia="Times New Roman" w:hAnsi="Arial" w:cs="Arial"/>
          <w:color w:val="000000"/>
          <w:lang w:eastAsia="en-GB"/>
        </w:rPr>
        <w:t>)</w:t>
      </w:r>
      <w:r w:rsidR="002A0192" w:rsidRPr="0090147B">
        <w:rPr>
          <w:rFonts w:ascii="Arial" w:eastAsia="Times New Roman" w:hAnsi="Arial" w:cs="Arial"/>
          <w:color w:val="000000"/>
          <w:lang w:eastAsia="en-GB"/>
        </w:rPr>
        <w:tab/>
      </w:r>
      <w:r w:rsidRPr="0090147B">
        <w:rPr>
          <w:rFonts w:ascii="Arial" w:eastAsia="Times New Roman" w:hAnsi="Arial" w:cs="Arial"/>
          <w:color w:val="000000"/>
          <w:lang w:eastAsia="en-GB"/>
        </w:rPr>
        <w:t xml:space="preserve">asks for consistency in the future use of the name and description of the Community Hubs; </w:t>
      </w:r>
    </w:p>
    <w:p w14:paraId="5ABFD178" w14:textId="0FAE694E" w:rsidR="006E40CA" w:rsidRPr="0090147B" w:rsidRDefault="006E40CA" w:rsidP="002A0192">
      <w:pPr>
        <w:autoSpaceDE w:val="0"/>
        <w:autoSpaceDN w:val="0"/>
        <w:adjustRightInd w:val="0"/>
        <w:spacing w:after="0" w:line="240" w:lineRule="auto"/>
        <w:ind w:left="716" w:hanging="432"/>
        <w:rPr>
          <w:rFonts w:ascii="Arial" w:eastAsia="Times New Roman" w:hAnsi="Arial" w:cs="Arial"/>
          <w:color w:val="000000"/>
          <w:lang w:eastAsia="en-GB"/>
        </w:rPr>
      </w:pPr>
      <w:r w:rsidRPr="0090147B">
        <w:rPr>
          <w:rFonts w:ascii="Arial" w:eastAsia="Times New Roman" w:hAnsi="Arial" w:cs="Arial"/>
          <w:color w:val="000000"/>
          <w:lang w:eastAsia="en-GB"/>
        </w:rPr>
        <w:t>4</w:t>
      </w:r>
      <w:r w:rsidR="007068A5" w:rsidRPr="0090147B">
        <w:rPr>
          <w:rFonts w:ascii="Arial" w:eastAsia="Times New Roman" w:hAnsi="Arial" w:cs="Arial"/>
          <w:color w:val="000000"/>
          <w:lang w:eastAsia="en-GB"/>
        </w:rPr>
        <w:t>)</w:t>
      </w:r>
      <w:r w:rsidR="002A0192" w:rsidRPr="0090147B">
        <w:rPr>
          <w:rFonts w:ascii="Arial" w:eastAsia="Times New Roman" w:hAnsi="Arial" w:cs="Arial"/>
          <w:color w:val="000000"/>
          <w:lang w:eastAsia="en-GB"/>
        </w:rPr>
        <w:tab/>
      </w:r>
      <w:r w:rsidRPr="0090147B">
        <w:rPr>
          <w:rFonts w:ascii="Arial" w:eastAsia="Times New Roman" w:hAnsi="Arial" w:cs="Arial"/>
          <w:color w:val="000000"/>
          <w:lang w:eastAsia="en-GB"/>
        </w:rPr>
        <w:t xml:space="preserve">asks that further information be provided on the key performance information definition on the number of residents benefiting from opportunities created by the communities team; </w:t>
      </w:r>
    </w:p>
    <w:p w14:paraId="5652886F" w14:textId="310A91BB" w:rsidR="006E40CA" w:rsidRPr="0090147B" w:rsidRDefault="006E40CA" w:rsidP="002A0192">
      <w:pPr>
        <w:autoSpaceDE w:val="0"/>
        <w:autoSpaceDN w:val="0"/>
        <w:adjustRightInd w:val="0"/>
        <w:spacing w:after="0" w:line="240" w:lineRule="auto"/>
        <w:ind w:left="716" w:hanging="432"/>
        <w:rPr>
          <w:rFonts w:ascii="Arial" w:eastAsia="Times New Roman" w:hAnsi="Arial" w:cs="Arial"/>
          <w:color w:val="000000"/>
          <w:lang w:eastAsia="en-GB"/>
        </w:rPr>
      </w:pPr>
      <w:r w:rsidRPr="0090147B">
        <w:rPr>
          <w:rFonts w:ascii="Arial" w:eastAsia="Times New Roman" w:hAnsi="Arial" w:cs="Arial"/>
          <w:color w:val="000000"/>
          <w:lang w:eastAsia="en-GB"/>
        </w:rPr>
        <w:t>5</w:t>
      </w:r>
      <w:r w:rsidR="007068A5" w:rsidRPr="0090147B">
        <w:rPr>
          <w:rFonts w:ascii="Arial" w:eastAsia="Times New Roman" w:hAnsi="Arial" w:cs="Arial"/>
          <w:color w:val="000000"/>
          <w:lang w:eastAsia="en-GB"/>
        </w:rPr>
        <w:t>)</w:t>
      </w:r>
      <w:r w:rsidR="002A0192" w:rsidRPr="0090147B">
        <w:rPr>
          <w:rFonts w:ascii="Arial" w:eastAsia="Times New Roman" w:hAnsi="Arial" w:cs="Arial"/>
          <w:color w:val="000000"/>
          <w:lang w:eastAsia="en-GB"/>
        </w:rPr>
        <w:tab/>
      </w:r>
      <w:r w:rsidRPr="0090147B">
        <w:rPr>
          <w:rFonts w:ascii="Arial" w:eastAsia="Times New Roman" w:hAnsi="Arial" w:cs="Arial"/>
          <w:color w:val="000000"/>
          <w:lang w:eastAsia="en-GB"/>
        </w:rPr>
        <w:t xml:space="preserve">asks that the costs associated with refurbishing Penwortham Leisure Centre by provided to the Panel; and </w:t>
      </w:r>
    </w:p>
    <w:p w14:paraId="0485387E" w14:textId="7D8575D7" w:rsidR="006E40CA" w:rsidRPr="0090147B" w:rsidRDefault="006E40CA" w:rsidP="002A0192">
      <w:pPr>
        <w:autoSpaceDE w:val="0"/>
        <w:autoSpaceDN w:val="0"/>
        <w:adjustRightInd w:val="0"/>
        <w:spacing w:after="0" w:line="240" w:lineRule="auto"/>
        <w:ind w:left="644" w:hanging="360"/>
        <w:rPr>
          <w:rFonts w:ascii="Arial" w:eastAsia="Times New Roman" w:hAnsi="Arial" w:cs="Arial"/>
          <w:color w:val="000000"/>
          <w:lang w:eastAsia="en-GB"/>
        </w:rPr>
      </w:pPr>
      <w:r w:rsidRPr="0090147B">
        <w:rPr>
          <w:rFonts w:ascii="Arial" w:eastAsia="Times New Roman" w:hAnsi="Arial" w:cs="Arial"/>
          <w:color w:val="000000"/>
          <w:lang w:eastAsia="en-GB"/>
        </w:rPr>
        <w:t>6</w:t>
      </w:r>
      <w:r w:rsidR="007068A5" w:rsidRPr="0090147B">
        <w:rPr>
          <w:rFonts w:ascii="Arial" w:eastAsia="Times New Roman" w:hAnsi="Arial" w:cs="Arial"/>
          <w:color w:val="000000"/>
          <w:lang w:eastAsia="en-GB"/>
        </w:rPr>
        <w:t>)</w:t>
      </w:r>
      <w:r w:rsidR="002A0192" w:rsidRPr="0090147B">
        <w:rPr>
          <w:rFonts w:ascii="Arial" w:eastAsia="Times New Roman" w:hAnsi="Arial" w:cs="Arial"/>
          <w:color w:val="000000"/>
          <w:lang w:eastAsia="en-GB"/>
        </w:rPr>
        <w:tab/>
      </w:r>
      <w:r w:rsidRPr="0090147B">
        <w:rPr>
          <w:rFonts w:ascii="Arial" w:eastAsia="Times New Roman" w:hAnsi="Arial" w:cs="Arial"/>
          <w:color w:val="000000"/>
          <w:lang w:eastAsia="en-GB"/>
        </w:rPr>
        <w:t xml:space="preserve">welcomes the commitment to review the methodology for collecting customer satisfaction data. </w:t>
      </w:r>
    </w:p>
    <w:p w14:paraId="05D4E131" w14:textId="77777777" w:rsidR="006E40CA" w:rsidRPr="0090147B" w:rsidRDefault="006E40CA" w:rsidP="006E40CA">
      <w:pPr>
        <w:spacing w:after="0" w:line="240" w:lineRule="auto"/>
        <w:rPr>
          <w:rFonts w:ascii="Arial" w:eastAsia="Times New Roman" w:hAnsi="Arial" w:cs="Arial"/>
          <w:lang w:eastAsia="en-GB"/>
        </w:rPr>
      </w:pPr>
    </w:p>
    <w:p w14:paraId="48789462" w14:textId="3C51D844" w:rsidR="006E40CA" w:rsidRPr="0090147B" w:rsidRDefault="006E40CA" w:rsidP="006E40CA">
      <w:pPr>
        <w:pStyle w:val="ListParagraph"/>
        <w:numPr>
          <w:ilvl w:val="0"/>
          <w:numId w:val="1"/>
        </w:numPr>
        <w:spacing w:after="0" w:line="240" w:lineRule="auto"/>
        <w:rPr>
          <w:rFonts w:ascii="Arial" w:eastAsia="Times New Roman" w:hAnsi="Arial" w:cs="Arial"/>
          <w:bCs/>
          <w:lang w:eastAsia="en-GB"/>
        </w:rPr>
      </w:pPr>
      <w:r w:rsidRPr="0090147B">
        <w:rPr>
          <w:rFonts w:ascii="Arial" w:eastAsia="Calibri" w:hAnsi="Arial" w:cs="Arial"/>
          <w:lang w:eastAsia="en-GB"/>
        </w:rPr>
        <w:t>The Council’s performance framework set</w:t>
      </w:r>
      <w:r w:rsidR="002A0192" w:rsidRPr="0090147B">
        <w:rPr>
          <w:rFonts w:ascii="Arial" w:eastAsia="Calibri" w:hAnsi="Arial" w:cs="Arial"/>
          <w:lang w:eastAsia="en-GB"/>
        </w:rPr>
        <w:t>s</w:t>
      </w:r>
      <w:r w:rsidRPr="0090147B">
        <w:rPr>
          <w:rFonts w:ascii="Arial" w:eastAsia="Calibri" w:hAnsi="Arial" w:cs="Arial"/>
          <w:lang w:eastAsia="en-GB"/>
        </w:rPr>
        <w:t xml:space="preserve"> out the process for reporting progress against the objectives of the Corporate Strategy. Robust monitoring ensure</w:t>
      </w:r>
      <w:r w:rsidR="002A0192" w:rsidRPr="0090147B">
        <w:rPr>
          <w:rFonts w:ascii="Arial" w:eastAsia="Calibri" w:hAnsi="Arial" w:cs="Arial"/>
          <w:lang w:eastAsia="en-GB"/>
        </w:rPr>
        <w:t>s</w:t>
      </w:r>
      <w:r w:rsidRPr="0090147B">
        <w:rPr>
          <w:rFonts w:ascii="Arial" w:eastAsia="Calibri" w:hAnsi="Arial" w:cs="Arial"/>
          <w:lang w:eastAsia="en-GB"/>
        </w:rPr>
        <w:t xml:space="preserve"> that the Council continues to deliver its priorities and achieves the best outcomes for residents.</w:t>
      </w:r>
    </w:p>
    <w:p w14:paraId="54E16019" w14:textId="77777777" w:rsidR="006E40CA" w:rsidRPr="0090147B" w:rsidRDefault="006E40CA" w:rsidP="006E40CA">
      <w:pPr>
        <w:spacing w:after="0" w:line="240" w:lineRule="auto"/>
        <w:rPr>
          <w:rFonts w:ascii="Arial" w:eastAsia="Times New Roman" w:hAnsi="Arial" w:cs="Arial"/>
          <w:b/>
          <w:bCs/>
          <w:lang w:eastAsia="en-GB"/>
        </w:rPr>
      </w:pPr>
    </w:p>
    <w:p w14:paraId="69877CF5" w14:textId="1D845BC5" w:rsidR="006E40CA" w:rsidRPr="0090147B" w:rsidRDefault="006E40CA" w:rsidP="003B2375">
      <w:pPr>
        <w:numPr>
          <w:ilvl w:val="0"/>
          <w:numId w:val="1"/>
        </w:numPr>
        <w:spacing w:after="0" w:line="240" w:lineRule="auto"/>
        <w:contextualSpacing/>
        <w:rPr>
          <w:rFonts w:ascii="Arial" w:eastAsia="Times New Roman" w:hAnsi="Arial" w:cs="Arial"/>
          <w:lang w:eastAsia="en-GB"/>
        </w:rPr>
      </w:pPr>
      <w:r w:rsidRPr="0090147B">
        <w:rPr>
          <w:rFonts w:ascii="Arial" w:eastAsia="Times New Roman" w:hAnsi="Arial" w:cs="Arial"/>
          <w:lang w:eastAsia="en-GB"/>
        </w:rPr>
        <w:t>Cabinet noted the report and accepted the recommendations of the Scrutiny Budget and Performance Panel made on 22 March 2021.</w:t>
      </w:r>
    </w:p>
    <w:p w14:paraId="29E25958" w14:textId="77777777" w:rsidR="00CE6EE8" w:rsidRDefault="00CE6EE8">
      <w:pPr>
        <w:rPr>
          <w:rFonts w:ascii="Arial" w:eastAsia="Times New Roman" w:hAnsi="Arial" w:cs="Arial"/>
          <w:b/>
          <w:bCs/>
          <w:iCs/>
          <w:lang w:eastAsia="en-GB"/>
        </w:rPr>
      </w:pPr>
      <w:r>
        <w:rPr>
          <w:rFonts w:eastAsia="Times New Roman"/>
        </w:rPr>
        <w:br w:type="page"/>
      </w:r>
    </w:p>
    <w:p w14:paraId="5A6C91EE" w14:textId="1EB892BF" w:rsidR="006E40CA" w:rsidRPr="0090147B" w:rsidRDefault="006E40CA" w:rsidP="00A715AD">
      <w:pPr>
        <w:pStyle w:val="Heading2"/>
        <w:rPr>
          <w:rFonts w:eastAsia="Times New Roman"/>
          <w:sz w:val="22"/>
          <w:szCs w:val="22"/>
        </w:rPr>
      </w:pPr>
      <w:bookmarkStart w:id="1" w:name="_GoBack"/>
      <w:bookmarkEnd w:id="1"/>
      <w:r w:rsidRPr="0090147B">
        <w:rPr>
          <w:rFonts w:eastAsia="Times New Roman"/>
          <w:sz w:val="22"/>
          <w:szCs w:val="22"/>
        </w:rPr>
        <w:lastRenderedPageBreak/>
        <w:t>Community Hubs Update and Action Plans</w:t>
      </w:r>
    </w:p>
    <w:p w14:paraId="1E4EE6B7" w14:textId="77777777" w:rsidR="00A715AD" w:rsidRPr="0090147B" w:rsidRDefault="00A715AD" w:rsidP="00A715AD">
      <w:pPr>
        <w:rPr>
          <w:rFonts w:ascii="Arial" w:hAnsi="Arial" w:cs="Arial"/>
          <w:lang w:eastAsia="en-GB"/>
        </w:rPr>
      </w:pPr>
    </w:p>
    <w:p w14:paraId="13FCDDF6" w14:textId="293ED0CB" w:rsidR="006E40CA" w:rsidRPr="0090147B" w:rsidRDefault="006E40CA" w:rsidP="006B7952">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Cabinet considered a report of the Director of Communities giving details of the 2021/22 Community Hub Action Plans and Area Profiles. There was a substantial amount of data provided in the area profiles which could be used to inform the further development of action plans.</w:t>
      </w:r>
    </w:p>
    <w:p w14:paraId="66DBD87E" w14:textId="77777777" w:rsidR="006E40CA" w:rsidRPr="0090147B" w:rsidRDefault="006E40CA" w:rsidP="006E40CA">
      <w:pPr>
        <w:spacing w:after="0" w:line="240" w:lineRule="auto"/>
        <w:rPr>
          <w:rFonts w:ascii="Arial" w:eastAsia="Times New Roman" w:hAnsi="Arial" w:cs="Arial"/>
          <w:lang w:eastAsia="en-GB"/>
        </w:rPr>
      </w:pPr>
    </w:p>
    <w:p w14:paraId="1B0D4779" w14:textId="0028F047" w:rsidR="006E40CA" w:rsidRPr="0090147B" w:rsidRDefault="006E40CA" w:rsidP="007068A5">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Leader noted the lack of specific projects within the action plans relating to local issues identified by the data (e.g. fuel poverty in the Western Parishes) and referred to lack of community engagement (e.g. with parish and town councils).</w:t>
      </w:r>
    </w:p>
    <w:p w14:paraId="677B9D6F" w14:textId="77777777" w:rsidR="006E40CA" w:rsidRPr="0090147B" w:rsidRDefault="006E40CA" w:rsidP="006E40CA">
      <w:pPr>
        <w:spacing w:after="0" w:line="240" w:lineRule="auto"/>
        <w:rPr>
          <w:rFonts w:ascii="Arial" w:eastAsia="Times New Roman" w:hAnsi="Arial" w:cs="Arial"/>
          <w:lang w:eastAsia="en-GB"/>
        </w:rPr>
      </w:pPr>
    </w:p>
    <w:p w14:paraId="7E27EB65" w14:textId="58441D34" w:rsidR="006E40CA" w:rsidRPr="0090147B" w:rsidRDefault="007068A5" w:rsidP="007068A5">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In response to an enquiry a</w:t>
      </w:r>
      <w:r w:rsidR="006E40CA" w:rsidRPr="0090147B">
        <w:rPr>
          <w:rFonts w:ascii="Arial" w:eastAsia="Times New Roman" w:hAnsi="Arial" w:cs="Arial"/>
          <w:lang w:eastAsia="en-GB"/>
        </w:rPr>
        <w:t>s to how recently the data had been collected</w:t>
      </w:r>
      <w:r w:rsidRPr="0090147B">
        <w:rPr>
          <w:rFonts w:ascii="Arial" w:eastAsia="Times New Roman" w:hAnsi="Arial" w:cs="Arial"/>
          <w:lang w:eastAsia="en-GB"/>
        </w:rPr>
        <w:t>, t</w:t>
      </w:r>
      <w:r w:rsidR="006E40CA" w:rsidRPr="0090147B">
        <w:rPr>
          <w:rFonts w:ascii="Arial" w:eastAsia="Times New Roman" w:hAnsi="Arial" w:cs="Arial"/>
          <w:lang w:eastAsia="en-GB"/>
        </w:rPr>
        <w:t xml:space="preserve">he Director of Communities indicated that the data represented the latest available to the Council, however it may have been collected recently or several years ago depending on the source (e.g. previous census data). </w:t>
      </w:r>
      <w:r w:rsidRPr="0090147B">
        <w:rPr>
          <w:rFonts w:ascii="Arial" w:eastAsia="Times New Roman" w:hAnsi="Arial" w:cs="Arial"/>
          <w:lang w:eastAsia="en-GB"/>
        </w:rPr>
        <w:t xml:space="preserve">It was also reported that </w:t>
      </w:r>
      <w:r w:rsidR="006E40CA" w:rsidRPr="0090147B">
        <w:rPr>
          <w:rFonts w:ascii="Arial" w:eastAsia="Times New Roman" w:hAnsi="Arial" w:cs="Arial"/>
          <w:lang w:eastAsia="en-GB"/>
        </w:rPr>
        <w:t>the data was to be reviewed over the next few weeks.</w:t>
      </w:r>
    </w:p>
    <w:p w14:paraId="5C7E8DA8" w14:textId="77777777" w:rsidR="006E40CA" w:rsidRPr="0090147B" w:rsidRDefault="006E40CA" w:rsidP="006E40CA">
      <w:pPr>
        <w:spacing w:after="0" w:line="240" w:lineRule="auto"/>
        <w:rPr>
          <w:rFonts w:ascii="Arial" w:eastAsia="Times New Roman" w:hAnsi="Arial" w:cs="Arial"/>
          <w:lang w:eastAsia="en-GB"/>
        </w:rPr>
      </w:pPr>
    </w:p>
    <w:p w14:paraId="7E0D4B8E" w14:textId="200D5D2F" w:rsidR="006E40CA" w:rsidRPr="0090147B" w:rsidRDefault="006E40CA" w:rsidP="007068A5">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Other comments and points raised included:</w:t>
      </w:r>
    </w:p>
    <w:p w14:paraId="5F188B82" w14:textId="77777777" w:rsidR="006E40CA" w:rsidRPr="0090147B" w:rsidRDefault="006E40CA" w:rsidP="006E40CA">
      <w:pPr>
        <w:spacing w:after="0" w:line="240" w:lineRule="auto"/>
        <w:rPr>
          <w:rFonts w:ascii="Arial" w:eastAsia="Times New Roman" w:hAnsi="Arial" w:cs="Arial"/>
          <w:lang w:eastAsia="en-GB"/>
        </w:rPr>
      </w:pPr>
    </w:p>
    <w:p w14:paraId="4BACDD0E" w14:textId="3797D2C0" w:rsidR="006E40CA" w:rsidRPr="0090147B" w:rsidRDefault="006E40CA" w:rsidP="007068A5">
      <w:pPr>
        <w:pStyle w:val="ListParagraph"/>
        <w:numPr>
          <w:ilvl w:val="0"/>
          <w:numId w:val="28"/>
        </w:numPr>
        <w:spacing w:after="0" w:line="240" w:lineRule="auto"/>
        <w:rPr>
          <w:rFonts w:ascii="Arial" w:eastAsia="Times New Roman" w:hAnsi="Arial" w:cs="Arial"/>
          <w:lang w:eastAsia="en-GB"/>
        </w:rPr>
      </w:pPr>
      <w:r w:rsidRPr="0090147B">
        <w:rPr>
          <w:rFonts w:ascii="Arial" w:eastAsia="Times New Roman" w:hAnsi="Arial" w:cs="Arial"/>
          <w:lang w:eastAsia="en-GB"/>
        </w:rPr>
        <w:t>the difficulties presented by the current pandemic, which may be reflected in the progress made by Community Hubs over the twelve month period;</w:t>
      </w:r>
    </w:p>
    <w:p w14:paraId="41A95254" w14:textId="0EE0F123" w:rsidR="006E40CA" w:rsidRPr="0090147B" w:rsidRDefault="006E40CA" w:rsidP="007068A5">
      <w:pPr>
        <w:pStyle w:val="ListParagraph"/>
        <w:numPr>
          <w:ilvl w:val="0"/>
          <w:numId w:val="28"/>
        </w:numPr>
        <w:spacing w:after="0" w:line="240" w:lineRule="auto"/>
        <w:rPr>
          <w:rFonts w:ascii="Arial" w:eastAsia="Times New Roman" w:hAnsi="Arial" w:cs="Arial"/>
          <w:lang w:eastAsia="en-GB"/>
        </w:rPr>
      </w:pPr>
      <w:r w:rsidRPr="0090147B">
        <w:rPr>
          <w:rFonts w:ascii="Arial" w:eastAsia="Times New Roman" w:hAnsi="Arial" w:cs="Arial"/>
          <w:lang w:eastAsia="en-GB"/>
        </w:rPr>
        <w:t xml:space="preserve">The Cabinet Member (Communities, Social Justice and Wealth Building) providing progress updates to Cabinet on the work of Community Hubs. </w:t>
      </w:r>
    </w:p>
    <w:p w14:paraId="17C83E1B" w14:textId="77777777" w:rsidR="006E40CA" w:rsidRPr="0090147B" w:rsidRDefault="006E40CA" w:rsidP="006E40CA">
      <w:pPr>
        <w:spacing w:after="0" w:line="240" w:lineRule="auto"/>
        <w:rPr>
          <w:rFonts w:ascii="Arial" w:eastAsia="Times New Roman" w:hAnsi="Arial" w:cs="Arial"/>
          <w:lang w:eastAsia="en-GB"/>
        </w:rPr>
      </w:pPr>
    </w:p>
    <w:p w14:paraId="78034043" w14:textId="64C016EF" w:rsidR="006E40CA" w:rsidRPr="0090147B" w:rsidRDefault="007068A5" w:rsidP="007068A5">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Cabinet therefore made the following decisions:</w:t>
      </w:r>
    </w:p>
    <w:p w14:paraId="3C962197" w14:textId="77777777" w:rsidR="006E40CA" w:rsidRPr="0090147B" w:rsidRDefault="006E40CA" w:rsidP="006E40CA">
      <w:pPr>
        <w:spacing w:after="0" w:line="240" w:lineRule="auto"/>
        <w:rPr>
          <w:rFonts w:ascii="Arial" w:eastAsia="Times New Roman" w:hAnsi="Arial" w:cs="Arial"/>
          <w:lang w:eastAsia="en-GB"/>
        </w:rPr>
      </w:pPr>
    </w:p>
    <w:p w14:paraId="6693804F" w14:textId="6E2E988F" w:rsidR="006E40CA" w:rsidRPr="0090147B" w:rsidRDefault="006E40CA" w:rsidP="007068A5">
      <w:pPr>
        <w:pStyle w:val="ListParagraph"/>
        <w:numPr>
          <w:ilvl w:val="0"/>
          <w:numId w:val="26"/>
        </w:numPr>
        <w:spacing w:after="0" w:line="240" w:lineRule="auto"/>
        <w:rPr>
          <w:rFonts w:ascii="Arial" w:eastAsia="Times New Roman" w:hAnsi="Arial" w:cs="Arial"/>
          <w:lang w:eastAsia="en-GB"/>
        </w:rPr>
      </w:pPr>
      <w:r w:rsidRPr="0090147B">
        <w:rPr>
          <w:rFonts w:ascii="Arial" w:eastAsia="Times New Roman" w:hAnsi="Arial" w:cs="Arial"/>
          <w:lang w:eastAsia="en-GB"/>
        </w:rPr>
        <w:t xml:space="preserve">That </w:t>
      </w:r>
      <w:r w:rsidRPr="0090147B">
        <w:rPr>
          <w:rFonts w:ascii="Arial" w:eastAsia="Times New Roman" w:hAnsi="Arial" w:cs="Arial"/>
          <w:bCs/>
          <w:lang w:eastAsia="en-GB"/>
        </w:rPr>
        <w:t>the 2021/22 Community Hub Action Plans and Area Profiles be noted;</w:t>
      </w:r>
    </w:p>
    <w:p w14:paraId="43AE4A77" w14:textId="77777777" w:rsidR="006E40CA" w:rsidRPr="0090147B" w:rsidRDefault="006E40CA" w:rsidP="006E40CA">
      <w:pPr>
        <w:numPr>
          <w:ilvl w:val="0"/>
          <w:numId w:val="26"/>
        </w:numPr>
        <w:spacing w:after="0" w:line="240" w:lineRule="auto"/>
        <w:contextualSpacing/>
        <w:rPr>
          <w:rFonts w:ascii="Arial" w:eastAsia="Times New Roman" w:hAnsi="Arial" w:cs="Arial"/>
          <w:lang w:eastAsia="en-GB"/>
        </w:rPr>
      </w:pPr>
      <w:r w:rsidRPr="0090147B">
        <w:rPr>
          <w:rFonts w:ascii="Arial" w:eastAsia="Times New Roman" w:hAnsi="Arial" w:cs="Arial"/>
          <w:bCs/>
          <w:lang w:eastAsia="en-GB"/>
        </w:rPr>
        <w:t>That the Cabinet Member (Communities, Social Justice and Wealth Building) write to the Chairs and Vice Chairs of the Community Hubs regarding the need for specific projects in response to local issues and priorities identified for each area and to report back to the Cabinet at its next meeting on 16 June 2021; and</w:t>
      </w:r>
    </w:p>
    <w:p w14:paraId="106B8310" w14:textId="77777777" w:rsidR="006E40CA" w:rsidRPr="0090147B" w:rsidRDefault="006E40CA" w:rsidP="006E40CA">
      <w:pPr>
        <w:numPr>
          <w:ilvl w:val="0"/>
          <w:numId w:val="26"/>
        </w:numPr>
        <w:spacing w:after="0" w:line="240" w:lineRule="auto"/>
        <w:contextualSpacing/>
        <w:rPr>
          <w:rFonts w:ascii="Arial" w:eastAsia="Times New Roman" w:hAnsi="Arial" w:cs="Arial"/>
          <w:lang w:eastAsia="en-GB"/>
        </w:rPr>
      </w:pPr>
      <w:r w:rsidRPr="0090147B">
        <w:rPr>
          <w:rFonts w:ascii="Arial" w:eastAsia="Times New Roman" w:hAnsi="Arial" w:cs="Arial"/>
          <w:lang w:eastAsia="en-GB"/>
        </w:rPr>
        <w:t xml:space="preserve">That with regard to the data and intelligence collected for each area profile, where possible officers will baseline the report data to include when it was collected. </w:t>
      </w:r>
    </w:p>
    <w:p w14:paraId="6A815D82" w14:textId="53F5CFBF" w:rsidR="006E40CA" w:rsidRPr="0090147B" w:rsidRDefault="007068A5" w:rsidP="00A715AD">
      <w:pPr>
        <w:pStyle w:val="Heading2"/>
        <w:rPr>
          <w:rFonts w:eastAsia="Times New Roman"/>
          <w:sz w:val="22"/>
          <w:szCs w:val="22"/>
        </w:rPr>
      </w:pPr>
      <w:r w:rsidRPr="0090147B">
        <w:rPr>
          <w:rFonts w:eastAsia="Times New Roman"/>
          <w:sz w:val="22"/>
          <w:szCs w:val="22"/>
        </w:rPr>
        <w:t>Refurbishment of Playground at Haig Avenue, Leyland</w:t>
      </w:r>
    </w:p>
    <w:p w14:paraId="182FC75A" w14:textId="77777777" w:rsidR="00A715AD" w:rsidRPr="0090147B" w:rsidRDefault="00A715AD" w:rsidP="00A715AD">
      <w:pPr>
        <w:rPr>
          <w:rFonts w:ascii="Arial" w:hAnsi="Arial" w:cs="Arial"/>
          <w:lang w:eastAsia="en-GB"/>
        </w:rPr>
      </w:pPr>
    </w:p>
    <w:p w14:paraId="68890DFD" w14:textId="1217EE40" w:rsidR="007068A5" w:rsidRPr="0090147B" w:rsidRDefault="007068A5" w:rsidP="007068A5">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Cabinet considered a report of the Director of Communities bringing the refurbishment project for the playground at Haig Avenue, Leyland before members and seeking permission to spend the allocated capital budget and award the contract to the Preferred Bidder identified by the procurement processes.</w:t>
      </w:r>
    </w:p>
    <w:p w14:paraId="6CEA9EEA" w14:textId="77777777" w:rsidR="007068A5" w:rsidRPr="0090147B" w:rsidRDefault="007068A5" w:rsidP="007068A5">
      <w:pPr>
        <w:spacing w:after="0" w:line="240" w:lineRule="auto"/>
        <w:rPr>
          <w:rFonts w:ascii="Arial" w:eastAsia="Times New Roman" w:hAnsi="Arial" w:cs="Arial"/>
          <w:lang w:eastAsia="en-GB"/>
        </w:rPr>
      </w:pPr>
    </w:p>
    <w:p w14:paraId="6BB30CFB" w14:textId="0736628A" w:rsidR="007068A5" w:rsidRPr="0090147B" w:rsidRDefault="007068A5" w:rsidP="007068A5">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current capital programme included a number of play areas identified for improvement.  Haig Avenue Playground had funds allocated in this financial year and bids had been invited on a design and build basis.</w:t>
      </w:r>
    </w:p>
    <w:p w14:paraId="030FDEE2" w14:textId="12E625D3" w:rsidR="007068A5" w:rsidRPr="0090147B" w:rsidRDefault="007068A5" w:rsidP="007068A5">
      <w:pPr>
        <w:spacing w:after="0" w:line="240" w:lineRule="auto"/>
        <w:rPr>
          <w:rFonts w:ascii="Arial" w:eastAsia="Times New Roman" w:hAnsi="Arial" w:cs="Arial"/>
          <w:lang w:eastAsia="en-GB"/>
        </w:rPr>
      </w:pPr>
    </w:p>
    <w:p w14:paraId="67DA82FE" w14:textId="67462095" w:rsidR="007068A5" w:rsidRPr="0090147B" w:rsidRDefault="007068A5" w:rsidP="007068A5">
      <w:pPr>
        <w:pStyle w:val="ListParagraph"/>
        <w:keepNext/>
        <w:numPr>
          <w:ilvl w:val="0"/>
          <w:numId w:val="1"/>
        </w:numPr>
        <w:spacing w:after="0" w:line="252" w:lineRule="auto"/>
        <w:rPr>
          <w:rFonts w:ascii="Arial" w:eastAsia="Times New Roman" w:hAnsi="Arial" w:cs="Arial"/>
          <w:b/>
          <w:lang w:eastAsia="en-GB"/>
        </w:rPr>
      </w:pPr>
      <w:r w:rsidRPr="0090147B">
        <w:rPr>
          <w:rFonts w:ascii="Arial" w:eastAsia="Times New Roman" w:hAnsi="Arial" w:cs="Arial"/>
          <w:lang w:eastAsia="en-GB"/>
        </w:rPr>
        <w:lastRenderedPageBreak/>
        <w:t xml:space="preserve">A number of alternative options were considered. The option of doing nothing and leaving the site in the current condition was rejected as the site was now in need of refurbishment to provide quality facilities.  </w:t>
      </w:r>
    </w:p>
    <w:p w14:paraId="44E029BB" w14:textId="77777777" w:rsidR="007068A5" w:rsidRPr="0090147B" w:rsidRDefault="007068A5" w:rsidP="007068A5">
      <w:pPr>
        <w:keepNext/>
        <w:spacing w:after="0" w:line="252" w:lineRule="auto"/>
        <w:rPr>
          <w:rFonts w:ascii="Arial" w:eastAsia="Times New Roman" w:hAnsi="Arial" w:cs="Arial"/>
          <w:lang w:eastAsia="en-GB"/>
        </w:rPr>
      </w:pPr>
    </w:p>
    <w:p w14:paraId="66ADD481" w14:textId="58FD669C" w:rsidR="007068A5" w:rsidRPr="0090147B" w:rsidRDefault="007068A5" w:rsidP="007068A5">
      <w:pPr>
        <w:pStyle w:val="ListParagraph"/>
        <w:keepNext/>
        <w:numPr>
          <w:ilvl w:val="0"/>
          <w:numId w:val="1"/>
        </w:numPr>
        <w:spacing w:after="0" w:line="252" w:lineRule="auto"/>
        <w:rPr>
          <w:rFonts w:ascii="Arial" w:eastAsia="Times New Roman" w:hAnsi="Arial" w:cs="Arial"/>
          <w:b/>
          <w:lang w:eastAsia="en-GB"/>
        </w:rPr>
      </w:pPr>
      <w:r w:rsidRPr="0090147B">
        <w:rPr>
          <w:rFonts w:ascii="Arial" w:eastAsia="Times New Roman" w:hAnsi="Arial" w:cs="Arial"/>
          <w:lang w:eastAsia="en-GB"/>
        </w:rPr>
        <w:t xml:space="preserve">The option of providing teen/adult equipment over and above the ball court was rejected due to limitations on space and the proximity of surrounding houses.  </w:t>
      </w:r>
    </w:p>
    <w:p w14:paraId="35BE5672" w14:textId="77777777" w:rsidR="007068A5" w:rsidRPr="0090147B" w:rsidRDefault="007068A5" w:rsidP="007068A5">
      <w:pPr>
        <w:keepNext/>
        <w:spacing w:line="252" w:lineRule="auto"/>
        <w:ind w:left="709"/>
        <w:contextualSpacing/>
        <w:rPr>
          <w:rFonts w:ascii="Arial" w:eastAsia="Calibri" w:hAnsi="Arial" w:cs="Arial"/>
          <w:b/>
        </w:rPr>
      </w:pPr>
    </w:p>
    <w:p w14:paraId="6207175F" w14:textId="3593A57F" w:rsidR="007068A5" w:rsidRPr="0090147B" w:rsidRDefault="007068A5" w:rsidP="007068A5">
      <w:pPr>
        <w:pStyle w:val="ListParagraph"/>
        <w:numPr>
          <w:ilvl w:val="0"/>
          <w:numId w:val="1"/>
        </w:numPr>
        <w:spacing w:after="0" w:line="240" w:lineRule="auto"/>
        <w:rPr>
          <w:rFonts w:ascii="Arial" w:eastAsia="Times New Roman" w:hAnsi="Arial" w:cs="Arial"/>
          <w:b/>
          <w:bCs/>
          <w:lang w:eastAsia="en-GB"/>
        </w:rPr>
      </w:pPr>
      <w:r w:rsidRPr="0090147B">
        <w:rPr>
          <w:rFonts w:ascii="Arial" w:eastAsia="Times New Roman" w:hAnsi="Arial" w:cs="Arial"/>
          <w:bCs/>
          <w:lang w:eastAsia="en-GB"/>
        </w:rPr>
        <w:t>Finally, the option of providing parking spaces for traffic associated with the school opposite Haig Green was considered having been requested by a number of residents during the consultation.  The option was rejected due to a lack of space on site, insufficient budget, difficulties of forming a new access onto the highway, safety concerns for pedestrian and cyclists by increasing vehicle movements in and around the open space and potential negative air quality implications for the locality.</w:t>
      </w:r>
    </w:p>
    <w:p w14:paraId="45188E0C" w14:textId="77777777" w:rsidR="007068A5" w:rsidRPr="0090147B" w:rsidRDefault="007068A5" w:rsidP="007068A5">
      <w:pPr>
        <w:spacing w:after="0" w:line="240" w:lineRule="auto"/>
        <w:contextualSpacing/>
        <w:rPr>
          <w:rFonts w:ascii="Arial" w:eastAsia="Times New Roman" w:hAnsi="Arial" w:cs="Arial"/>
          <w:lang w:eastAsia="en-GB"/>
        </w:rPr>
      </w:pPr>
    </w:p>
    <w:p w14:paraId="5A6C47A0" w14:textId="7E615CC2" w:rsidR="007068A5" w:rsidRPr="0090147B" w:rsidRDefault="007068A5" w:rsidP="007068A5">
      <w:pPr>
        <w:pStyle w:val="ListParagraph"/>
        <w:keepNext/>
        <w:numPr>
          <w:ilvl w:val="0"/>
          <w:numId w:val="1"/>
        </w:numPr>
        <w:spacing w:after="0" w:line="240" w:lineRule="auto"/>
        <w:outlineLvl w:val="0"/>
        <w:rPr>
          <w:rFonts w:ascii="Arial" w:eastAsia="Times New Roman" w:hAnsi="Arial" w:cs="Arial"/>
          <w:b/>
          <w:lang w:eastAsia="en-GB"/>
        </w:rPr>
      </w:pPr>
      <w:r w:rsidRPr="0090147B">
        <w:rPr>
          <w:rFonts w:ascii="Arial" w:eastAsia="Times New Roman" w:hAnsi="Arial" w:cs="Arial"/>
          <w:lang w:eastAsia="en-GB"/>
        </w:rPr>
        <w:t>That Cabinet therefore gave approval to</w:t>
      </w:r>
    </w:p>
    <w:p w14:paraId="0704BB5E" w14:textId="77777777" w:rsidR="007068A5" w:rsidRPr="0090147B" w:rsidRDefault="007068A5" w:rsidP="007068A5">
      <w:pPr>
        <w:keepNext/>
        <w:spacing w:line="240" w:lineRule="auto"/>
        <w:ind w:left="709"/>
        <w:contextualSpacing/>
        <w:outlineLvl w:val="0"/>
        <w:rPr>
          <w:rFonts w:ascii="Arial" w:eastAsia="Calibri" w:hAnsi="Arial" w:cs="Arial"/>
        </w:rPr>
      </w:pPr>
    </w:p>
    <w:p w14:paraId="5B94AA63" w14:textId="1DF65A69" w:rsidR="007068A5" w:rsidRPr="0090147B" w:rsidRDefault="007068A5" w:rsidP="009847FF">
      <w:pPr>
        <w:pStyle w:val="ListParagraph"/>
        <w:keepNext/>
        <w:numPr>
          <w:ilvl w:val="0"/>
          <w:numId w:val="29"/>
        </w:numPr>
        <w:spacing w:line="252" w:lineRule="auto"/>
        <w:outlineLvl w:val="0"/>
        <w:rPr>
          <w:rFonts w:ascii="Arial" w:eastAsia="Calibri" w:hAnsi="Arial" w:cs="Arial"/>
          <w:b/>
        </w:rPr>
      </w:pPr>
      <w:r w:rsidRPr="0090147B">
        <w:rPr>
          <w:rFonts w:ascii="Arial" w:eastAsia="Calibri" w:hAnsi="Arial" w:cs="Arial"/>
        </w:rPr>
        <w:t xml:space="preserve">Spend the allocated £175,000 capital budget for the refurbishment of Haig Avenue Playground; and </w:t>
      </w:r>
    </w:p>
    <w:p w14:paraId="11050B47" w14:textId="71292666" w:rsidR="007068A5" w:rsidRPr="0090147B" w:rsidRDefault="007068A5" w:rsidP="009847FF">
      <w:pPr>
        <w:numPr>
          <w:ilvl w:val="0"/>
          <w:numId w:val="29"/>
        </w:numPr>
        <w:spacing w:line="252" w:lineRule="auto"/>
        <w:contextualSpacing/>
        <w:rPr>
          <w:rFonts w:ascii="Arial" w:eastAsia="Calibri" w:hAnsi="Arial" w:cs="Arial"/>
          <w:b/>
          <w:bCs/>
        </w:rPr>
      </w:pPr>
      <w:r w:rsidRPr="0090147B">
        <w:rPr>
          <w:rFonts w:ascii="Arial" w:eastAsia="Calibri" w:hAnsi="Arial" w:cs="Arial"/>
        </w:rPr>
        <w:t>award the contract for the refurbishment of Haig Avenue Playground to Bidder 3 in Table 1</w:t>
      </w:r>
      <w:r w:rsidR="009847FF" w:rsidRPr="0090147B">
        <w:rPr>
          <w:rFonts w:ascii="Arial" w:eastAsia="Calibri" w:hAnsi="Arial" w:cs="Arial"/>
        </w:rPr>
        <w:t xml:space="preserve"> of the report.</w:t>
      </w:r>
    </w:p>
    <w:p w14:paraId="031B3284" w14:textId="1CB9CE6F" w:rsidR="007068A5" w:rsidRPr="0090147B" w:rsidRDefault="009847FF" w:rsidP="00A715AD">
      <w:pPr>
        <w:pStyle w:val="Heading2"/>
        <w:rPr>
          <w:rFonts w:eastAsia="Times New Roman"/>
          <w:sz w:val="22"/>
          <w:szCs w:val="22"/>
        </w:rPr>
      </w:pPr>
      <w:r w:rsidRPr="0090147B">
        <w:rPr>
          <w:rFonts w:eastAsia="Times New Roman"/>
          <w:sz w:val="22"/>
          <w:szCs w:val="22"/>
        </w:rPr>
        <w:t>Budget Monitoring 2020-21 Quarter 3</w:t>
      </w:r>
    </w:p>
    <w:p w14:paraId="048F8A5D" w14:textId="77777777" w:rsidR="006E40CA" w:rsidRPr="0090147B" w:rsidRDefault="006E40CA" w:rsidP="006E40CA">
      <w:pPr>
        <w:pStyle w:val="ListParagraph"/>
        <w:rPr>
          <w:rFonts w:ascii="Arial" w:eastAsia="Times New Roman" w:hAnsi="Arial" w:cs="Arial"/>
          <w:lang w:eastAsia="en-GB"/>
        </w:rPr>
      </w:pPr>
    </w:p>
    <w:p w14:paraId="2F9FD12E" w14:textId="3194642C" w:rsidR="009847FF" w:rsidRPr="0090147B" w:rsidRDefault="009847FF" w:rsidP="009847FF">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Cabinet considered a report of the Deputy Director of Finance (Section 151 officer) explaining the Council’s overall financial position for quarter 3 of the financial year.</w:t>
      </w:r>
    </w:p>
    <w:p w14:paraId="774213D1" w14:textId="77777777" w:rsidR="009847FF" w:rsidRPr="0090147B" w:rsidRDefault="009847FF" w:rsidP="009847FF">
      <w:pPr>
        <w:pStyle w:val="ListParagraph"/>
        <w:numPr>
          <w:ilvl w:val="0"/>
          <w:numId w:val="1"/>
        </w:numPr>
        <w:spacing w:after="0" w:line="240" w:lineRule="auto"/>
        <w:jc w:val="both"/>
        <w:rPr>
          <w:rFonts w:ascii="Arial" w:eastAsia="Times New Roman" w:hAnsi="Arial" w:cs="Arial"/>
          <w:bCs/>
          <w:lang w:eastAsia="en-GB"/>
        </w:rPr>
      </w:pPr>
      <w:r w:rsidRPr="0090147B">
        <w:rPr>
          <w:rFonts w:ascii="Arial" w:eastAsia="Times New Roman" w:hAnsi="Arial" w:cs="Arial"/>
          <w:bCs/>
          <w:lang w:eastAsia="en-GB"/>
        </w:rPr>
        <w:t>The report outlined the impact Covid-19 has had on the budget in 2020/21 including the additional grant funding received and the management of the business grant schemes.</w:t>
      </w:r>
    </w:p>
    <w:p w14:paraId="3CFF3F33" w14:textId="77777777" w:rsidR="009847FF" w:rsidRPr="0090147B" w:rsidRDefault="009847FF" w:rsidP="009847FF">
      <w:pPr>
        <w:pStyle w:val="ListParagraph"/>
        <w:spacing w:after="0" w:line="240" w:lineRule="auto"/>
        <w:ind w:left="644"/>
        <w:jc w:val="both"/>
        <w:rPr>
          <w:rFonts w:ascii="Arial" w:eastAsia="Times New Roman" w:hAnsi="Arial" w:cs="Arial"/>
          <w:bCs/>
          <w:lang w:eastAsia="en-GB"/>
        </w:rPr>
      </w:pPr>
    </w:p>
    <w:p w14:paraId="27284E30" w14:textId="4C55D11A" w:rsidR="009847FF" w:rsidRPr="0090147B" w:rsidRDefault="009847FF" w:rsidP="009847FF">
      <w:pPr>
        <w:pStyle w:val="ListParagraph"/>
        <w:numPr>
          <w:ilvl w:val="0"/>
          <w:numId w:val="1"/>
        </w:numPr>
        <w:spacing w:after="0" w:line="240" w:lineRule="auto"/>
        <w:rPr>
          <w:rFonts w:ascii="Arial" w:eastAsia="Times New Roman" w:hAnsi="Arial" w:cs="Arial"/>
          <w:bCs/>
          <w:lang w:eastAsia="en-GB"/>
        </w:rPr>
      </w:pPr>
      <w:r w:rsidRPr="0090147B">
        <w:rPr>
          <w:rFonts w:ascii="Arial" w:eastAsia="Times New Roman" w:hAnsi="Arial" w:cs="Arial"/>
          <w:bCs/>
          <w:lang w:eastAsia="en-GB"/>
        </w:rPr>
        <w:t xml:space="preserve">The total capital spend including commitments in 2020/21 </w:t>
      </w:r>
      <w:r w:rsidR="00896B69" w:rsidRPr="0090147B">
        <w:rPr>
          <w:rFonts w:ascii="Arial" w:eastAsia="Times New Roman" w:hAnsi="Arial" w:cs="Arial"/>
          <w:bCs/>
          <w:lang w:eastAsia="en-GB"/>
        </w:rPr>
        <w:t>wa</w:t>
      </w:r>
      <w:r w:rsidRPr="0090147B">
        <w:rPr>
          <w:rFonts w:ascii="Arial" w:eastAsia="Times New Roman" w:hAnsi="Arial" w:cs="Arial"/>
          <w:bCs/>
          <w:lang w:eastAsia="en-GB"/>
        </w:rPr>
        <w:t>s £5.380m, which is 62% of the current 2020/21 capital budget of £8.737m. Appendix C to the report provided the details for individual schemes and the revised forecasts, both for 2020/21 and the following 3 years.</w:t>
      </w:r>
    </w:p>
    <w:p w14:paraId="24D3A77B" w14:textId="77777777" w:rsidR="009847FF" w:rsidRPr="0090147B" w:rsidRDefault="009847FF" w:rsidP="009847FF">
      <w:pPr>
        <w:pStyle w:val="ListParagraph"/>
        <w:spacing w:after="0" w:line="240" w:lineRule="auto"/>
        <w:ind w:left="644"/>
        <w:rPr>
          <w:rFonts w:ascii="Arial" w:eastAsia="Times New Roman" w:hAnsi="Arial" w:cs="Arial"/>
          <w:lang w:eastAsia="en-GB"/>
        </w:rPr>
      </w:pPr>
    </w:p>
    <w:p w14:paraId="7C5032FA" w14:textId="6F63B647" w:rsidR="009847FF" w:rsidRPr="0090147B" w:rsidRDefault="009847FF" w:rsidP="009847FF">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Cabinet also considered the recommendations of the Scrutiny Budget and Performance Panel made on 22 March 2021, as follows:</w:t>
      </w:r>
    </w:p>
    <w:p w14:paraId="2BC08CA5" w14:textId="77777777" w:rsidR="009847FF" w:rsidRPr="0090147B" w:rsidRDefault="009847FF" w:rsidP="009847FF">
      <w:pPr>
        <w:spacing w:after="0" w:line="240" w:lineRule="auto"/>
        <w:rPr>
          <w:rFonts w:ascii="Arial" w:eastAsia="Times New Roman" w:hAnsi="Arial" w:cs="Arial"/>
          <w:lang w:eastAsia="en-GB"/>
        </w:rPr>
      </w:pPr>
    </w:p>
    <w:p w14:paraId="14E0581B" w14:textId="77777777" w:rsidR="009847FF" w:rsidRPr="0090147B" w:rsidRDefault="009847FF" w:rsidP="009847FF">
      <w:pPr>
        <w:autoSpaceDE w:val="0"/>
        <w:autoSpaceDN w:val="0"/>
        <w:adjustRightInd w:val="0"/>
        <w:spacing w:after="0" w:line="240" w:lineRule="auto"/>
        <w:rPr>
          <w:rFonts w:ascii="Arial" w:eastAsia="Times New Roman" w:hAnsi="Arial" w:cs="Arial"/>
          <w:color w:val="000000"/>
          <w:lang w:eastAsia="en-GB"/>
        </w:rPr>
      </w:pPr>
      <w:r w:rsidRPr="0090147B">
        <w:rPr>
          <w:rFonts w:ascii="Arial" w:eastAsia="Times New Roman" w:hAnsi="Arial" w:cs="Arial"/>
          <w:color w:val="000000"/>
          <w:lang w:eastAsia="en-GB"/>
        </w:rPr>
        <w:t xml:space="preserve">The Scrutiny Panel: </w:t>
      </w:r>
    </w:p>
    <w:p w14:paraId="7DA0C631" w14:textId="77777777" w:rsidR="009847FF" w:rsidRPr="0090147B" w:rsidRDefault="009847FF" w:rsidP="009847FF">
      <w:pPr>
        <w:autoSpaceDE w:val="0"/>
        <w:autoSpaceDN w:val="0"/>
        <w:adjustRightInd w:val="0"/>
        <w:spacing w:after="0" w:line="240" w:lineRule="auto"/>
        <w:rPr>
          <w:rFonts w:ascii="Arial" w:eastAsia="Times New Roman" w:hAnsi="Arial" w:cs="Arial"/>
          <w:color w:val="000000"/>
          <w:lang w:eastAsia="en-GB"/>
        </w:rPr>
      </w:pPr>
    </w:p>
    <w:p w14:paraId="1BE04375" w14:textId="0C70327F" w:rsidR="009847FF" w:rsidRPr="0090147B" w:rsidRDefault="009847FF" w:rsidP="009847FF">
      <w:pPr>
        <w:pStyle w:val="ListParagraph"/>
        <w:numPr>
          <w:ilvl w:val="0"/>
          <w:numId w:val="32"/>
        </w:numPr>
        <w:autoSpaceDE w:val="0"/>
        <w:autoSpaceDN w:val="0"/>
        <w:adjustRightInd w:val="0"/>
        <w:spacing w:after="0" w:line="240" w:lineRule="auto"/>
        <w:rPr>
          <w:rFonts w:ascii="Arial" w:eastAsia="Times New Roman" w:hAnsi="Arial" w:cs="Arial"/>
          <w:color w:val="000000"/>
          <w:lang w:eastAsia="en-GB"/>
        </w:rPr>
      </w:pPr>
      <w:r w:rsidRPr="0090147B">
        <w:rPr>
          <w:rFonts w:ascii="Arial" w:eastAsia="Times New Roman" w:hAnsi="Arial" w:cs="Arial"/>
          <w:color w:val="000000"/>
          <w:lang w:eastAsia="en-GB"/>
        </w:rPr>
        <w:t xml:space="preserve">thanks the Cabinet Member and Deputy Director of Finance for attending and answering its questions; </w:t>
      </w:r>
    </w:p>
    <w:p w14:paraId="6702103F" w14:textId="563D5717" w:rsidR="009847FF" w:rsidRPr="0090147B" w:rsidRDefault="009847FF" w:rsidP="009847FF">
      <w:pPr>
        <w:pStyle w:val="ListParagraph"/>
        <w:numPr>
          <w:ilvl w:val="0"/>
          <w:numId w:val="32"/>
        </w:numPr>
        <w:autoSpaceDE w:val="0"/>
        <w:autoSpaceDN w:val="0"/>
        <w:adjustRightInd w:val="0"/>
        <w:spacing w:after="0" w:line="240" w:lineRule="auto"/>
        <w:rPr>
          <w:rFonts w:ascii="Arial" w:eastAsia="Times New Roman" w:hAnsi="Arial" w:cs="Arial"/>
          <w:color w:val="000000"/>
          <w:lang w:eastAsia="en-GB"/>
        </w:rPr>
      </w:pPr>
      <w:r w:rsidRPr="0090147B">
        <w:rPr>
          <w:rFonts w:ascii="Arial" w:eastAsia="Times New Roman" w:hAnsi="Arial" w:cs="Arial"/>
          <w:color w:val="000000"/>
          <w:lang w:eastAsia="en-GB"/>
        </w:rPr>
        <w:t xml:space="preserve">commends the inclusion of staff vacancy information within the report; </w:t>
      </w:r>
    </w:p>
    <w:p w14:paraId="1927922D" w14:textId="5E01E96B" w:rsidR="009847FF" w:rsidRPr="0090147B" w:rsidRDefault="009847FF" w:rsidP="009847FF">
      <w:pPr>
        <w:pStyle w:val="ListParagraph"/>
        <w:numPr>
          <w:ilvl w:val="0"/>
          <w:numId w:val="32"/>
        </w:numPr>
        <w:autoSpaceDE w:val="0"/>
        <w:autoSpaceDN w:val="0"/>
        <w:adjustRightInd w:val="0"/>
        <w:spacing w:after="0" w:line="240" w:lineRule="auto"/>
        <w:rPr>
          <w:rFonts w:ascii="Arial" w:eastAsia="Times New Roman" w:hAnsi="Arial" w:cs="Arial"/>
          <w:color w:val="000000"/>
          <w:lang w:eastAsia="en-GB"/>
        </w:rPr>
      </w:pPr>
      <w:r w:rsidRPr="0090147B">
        <w:rPr>
          <w:rFonts w:ascii="Arial" w:eastAsia="Times New Roman" w:hAnsi="Arial" w:cs="Arial"/>
          <w:color w:val="000000"/>
          <w:lang w:eastAsia="en-GB"/>
        </w:rPr>
        <w:t xml:space="preserve"> welcomes the reassurance that the capacity and skills required for the future delivery of the capital programme is now in place; and </w:t>
      </w:r>
    </w:p>
    <w:p w14:paraId="37C46C00" w14:textId="2E0EF2DC" w:rsidR="009847FF" w:rsidRPr="0090147B" w:rsidRDefault="009847FF" w:rsidP="009847FF">
      <w:pPr>
        <w:pStyle w:val="ListParagraph"/>
        <w:numPr>
          <w:ilvl w:val="0"/>
          <w:numId w:val="32"/>
        </w:numPr>
        <w:autoSpaceDE w:val="0"/>
        <w:autoSpaceDN w:val="0"/>
        <w:adjustRightInd w:val="0"/>
        <w:spacing w:after="0" w:line="240" w:lineRule="auto"/>
        <w:rPr>
          <w:rFonts w:ascii="Arial" w:eastAsia="Times New Roman" w:hAnsi="Arial" w:cs="Arial"/>
          <w:color w:val="000000"/>
          <w:lang w:eastAsia="en-GB"/>
        </w:rPr>
      </w:pPr>
      <w:r w:rsidRPr="0090147B">
        <w:rPr>
          <w:rFonts w:ascii="Arial" w:eastAsia="Times New Roman" w:hAnsi="Arial" w:cs="Arial"/>
          <w:color w:val="000000"/>
          <w:lang w:eastAsia="en-GB"/>
        </w:rPr>
        <w:t xml:space="preserve">asks that further information on the Community Infrastructure Levy (CIL) payments to parish/town councils over the last seven years be provided to Members. </w:t>
      </w:r>
    </w:p>
    <w:p w14:paraId="05700343" w14:textId="77777777" w:rsidR="009847FF" w:rsidRPr="0090147B" w:rsidRDefault="009847FF" w:rsidP="009847FF">
      <w:pPr>
        <w:autoSpaceDE w:val="0"/>
        <w:autoSpaceDN w:val="0"/>
        <w:adjustRightInd w:val="0"/>
        <w:spacing w:after="0" w:line="240" w:lineRule="auto"/>
        <w:rPr>
          <w:rFonts w:ascii="Arial" w:eastAsia="Times New Roman" w:hAnsi="Arial" w:cs="Arial"/>
          <w:color w:val="000000"/>
          <w:lang w:eastAsia="en-GB"/>
        </w:rPr>
      </w:pPr>
    </w:p>
    <w:p w14:paraId="3539CADA" w14:textId="250667B6" w:rsidR="009847FF" w:rsidRPr="0090147B" w:rsidRDefault="00896B69" w:rsidP="009847FF">
      <w:pPr>
        <w:pStyle w:val="ListParagraph"/>
        <w:numPr>
          <w:ilvl w:val="0"/>
          <w:numId w:val="1"/>
        </w:numPr>
        <w:autoSpaceDE w:val="0"/>
        <w:autoSpaceDN w:val="0"/>
        <w:adjustRightInd w:val="0"/>
        <w:spacing w:after="0" w:line="240" w:lineRule="auto"/>
        <w:rPr>
          <w:rFonts w:ascii="Arial" w:eastAsia="Times New Roman" w:hAnsi="Arial" w:cs="Arial"/>
          <w:color w:val="000000"/>
          <w:lang w:eastAsia="en-GB"/>
        </w:rPr>
      </w:pPr>
      <w:r w:rsidRPr="0090147B">
        <w:rPr>
          <w:rFonts w:ascii="Arial" w:eastAsia="Times New Roman" w:hAnsi="Arial" w:cs="Arial"/>
          <w:color w:val="000000"/>
          <w:lang w:eastAsia="en-GB"/>
        </w:rPr>
        <w:t>In response to questions from members regarding</w:t>
      </w:r>
      <w:r w:rsidRPr="0090147B">
        <w:rPr>
          <w:rFonts w:ascii="Arial" w:hAnsi="Arial" w:cs="Arial"/>
        </w:rPr>
        <w:t xml:space="preserve"> outstanding vacancies e.g. Assistant Director of Housing and Property and apprentice posts,</w:t>
      </w:r>
      <w:r w:rsidRPr="0090147B">
        <w:rPr>
          <w:rFonts w:ascii="Arial" w:eastAsia="Times New Roman" w:hAnsi="Arial" w:cs="Arial"/>
          <w:color w:val="000000"/>
          <w:lang w:eastAsia="en-GB"/>
        </w:rPr>
        <w:t xml:space="preserve"> t</w:t>
      </w:r>
      <w:r w:rsidR="009847FF" w:rsidRPr="0090147B">
        <w:rPr>
          <w:rFonts w:ascii="Arial" w:eastAsia="Times New Roman" w:hAnsi="Arial" w:cs="Arial"/>
          <w:color w:val="000000"/>
          <w:lang w:eastAsia="en-GB"/>
        </w:rPr>
        <w:t>he Chief Executive indicated that the senior post was intentionally left vacant due to the implementation of Shared Services and the appointment of apprentices was put on hold by the pandemic, however this would be restarting shortly.</w:t>
      </w:r>
    </w:p>
    <w:p w14:paraId="0527D8CD" w14:textId="77777777" w:rsidR="009847FF" w:rsidRPr="0090147B" w:rsidRDefault="009847FF" w:rsidP="009847FF">
      <w:pPr>
        <w:spacing w:after="0" w:line="240" w:lineRule="auto"/>
        <w:rPr>
          <w:rFonts w:ascii="Arial" w:eastAsia="Times New Roman" w:hAnsi="Arial" w:cs="Arial"/>
          <w:lang w:eastAsia="en-GB"/>
        </w:rPr>
      </w:pPr>
    </w:p>
    <w:p w14:paraId="0C2F00B8" w14:textId="00755AFD" w:rsidR="009847FF" w:rsidRPr="0090147B" w:rsidRDefault="009847FF" w:rsidP="009847FF">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Cabinet made the decision to:</w:t>
      </w:r>
    </w:p>
    <w:p w14:paraId="023B4041" w14:textId="77777777" w:rsidR="009847FF" w:rsidRPr="0090147B" w:rsidRDefault="009847FF" w:rsidP="009847FF">
      <w:pPr>
        <w:tabs>
          <w:tab w:val="left" w:pos="567"/>
        </w:tabs>
        <w:spacing w:after="0" w:line="264" w:lineRule="auto"/>
        <w:rPr>
          <w:rFonts w:ascii="Arial" w:eastAsia="Calibri" w:hAnsi="Arial" w:cs="Arial"/>
          <w:lang w:eastAsia="en-GB"/>
        </w:rPr>
      </w:pPr>
    </w:p>
    <w:p w14:paraId="361CB3F0" w14:textId="1E765CAF" w:rsidR="009847FF" w:rsidRPr="0090147B" w:rsidRDefault="009847FF" w:rsidP="009847FF">
      <w:pPr>
        <w:pStyle w:val="ListParagraph"/>
        <w:numPr>
          <w:ilvl w:val="0"/>
          <w:numId w:val="31"/>
        </w:numPr>
        <w:tabs>
          <w:tab w:val="left" w:pos="567"/>
        </w:tabs>
        <w:spacing w:line="264" w:lineRule="auto"/>
        <w:rPr>
          <w:rFonts w:ascii="Arial" w:eastAsia="Calibri" w:hAnsi="Arial" w:cs="Arial"/>
        </w:rPr>
      </w:pPr>
      <w:r w:rsidRPr="0090147B">
        <w:rPr>
          <w:rFonts w:ascii="Arial" w:eastAsia="Calibri" w:hAnsi="Arial" w:cs="Arial"/>
        </w:rPr>
        <w:t>To note the contents of the report;</w:t>
      </w:r>
    </w:p>
    <w:p w14:paraId="062FCC1E" w14:textId="4EE40398" w:rsidR="009847FF" w:rsidRPr="0090147B" w:rsidRDefault="009847FF" w:rsidP="009847FF">
      <w:pPr>
        <w:numPr>
          <w:ilvl w:val="0"/>
          <w:numId w:val="31"/>
        </w:numPr>
        <w:tabs>
          <w:tab w:val="left" w:pos="567"/>
        </w:tabs>
        <w:spacing w:line="264" w:lineRule="auto"/>
        <w:contextualSpacing/>
        <w:rPr>
          <w:rFonts w:ascii="Arial" w:eastAsia="Calibri" w:hAnsi="Arial" w:cs="Arial"/>
        </w:rPr>
      </w:pPr>
      <w:r w:rsidRPr="0090147B">
        <w:rPr>
          <w:rFonts w:ascii="Arial" w:eastAsia="Calibri" w:hAnsi="Arial" w:cs="Arial"/>
        </w:rPr>
        <w:t>To accept the recommendations of the Scrutiny Budget and Performance Panel made on 22 March 2021; and</w:t>
      </w:r>
    </w:p>
    <w:p w14:paraId="72B661C7" w14:textId="77777777" w:rsidR="009847FF" w:rsidRPr="0090147B" w:rsidRDefault="009847FF" w:rsidP="009847FF">
      <w:pPr>
        <w:numPr>
          <w:ilvl w:val="0"/>
          <w:numId w:val="31"/>
        </w:numPr>
        <w:spacing w:line="252" w:lineRule="auto"/>
        <w:contextualSpacing/>
        <w:rPr>
          <w:rFonts w:ascii="Arial" w:eastAsia="Times New Roman" w:hAnsi="Arial" w:cs="Arial"/>
          <w:b/>
          <w:bCs/>
        </w:rPr>
      </w:pPr>
      <w:r w:rsidRPr="0090147B">
        <w:rPr>
          <w:rFonts w:ascii="Arial" w:eastAsia="Calibri" w:hAnsi="Arial" w:cs="Arial"/>
        </w:rPr>
        <w:t>To approve the re-profiled budgets for the capital programme, which reflects forecasted underspend against the existing budgets, as detailed in Appendix C to the report.</w:t>
      </w:r>
    </w:p>
    <w:p w14:paraId="666A9017" w14:textId="1DA5B551" w:rsidR="00BE468E" w:rsidRPr="0090147B" w:rsidRDefault="00BE468E" w:rsidP="00A715AD">
      <w:pPr>
        <w:pStyle w:val="Heading2"/>
        <w:rPr>
          <w:rFonts w:eastAsia="Times New Roman"/>
          <w:sz w:val="22"/>
          <w:szCs w:val="22"/>
        </w:rPr>
      </w:pPr>
      <w:r w:rsidRPr="0090147B">
        <w:rPr>
          <w:rFonts w:eastAsia="Times New Roman"/>
          <w:sz w:val="22"/>
          <w:szCs w:val="22"/>
        </w:rPr>
        <w:t>Shared Services Events Team Review</w:t>
      </w:r>
    </w:p>
    <w:p w14:paraId="7A709C9C" w14:textId="4D350EAC" w:rsidR="009847FF" w:rsidRPr="0090147B" w:rsidRDefault="009847FF" w:rsidP="009847FF">
      <w:pPr>
        <w:spacing w:after="0" w:line="240" w:lineRule="auto"/>
        <w:contextualSpacing/>
        <w:rPr>
          <w:rFonts w:ascii="Arial" w:eastAsia="Times New Roman" w:hAnsi="Arial" w:cs="Arial"/>
          <w:lang w:eastAsia="en-GB"/>
        </w:rPr>
      </w:pPr>
    </w:p>
    <w:p w14:paraId="33DE540A" w14:textId="373D3778" w:rsidR="00F928EA" w:rsidRPr="0090147B" w:rsidRDefault="00F928EA" w:rsidP="00F928EA">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Leader of the Council presented a report outlining proposals to create a shared events team from 1 April 2021. The principle of creating a shared events team has already been agreed and the report brought forward a proposal to complete that action as part of the shared services phase one service reviews</w:t>
      </w:r>
    </w:p>
    <w:p w14:paraId="734AC9FD" w14:textId="77777777" w:rsidR="00F928EA" w:rsidRPr="0090147B" w:rsidRDefault="00F928EA" w:rsidP="00F928EA">
      <w:pPr>
        <w:spacing w:after="0" w:line="240" w:lineRule="auto"/>
        <w:rPr>
          <w:rFonts w:ascii="Arial" w:eastAsia="Times New Roman" w:hAnsi="Arial" w:cs="Arial"/>
          <w:lang w:eastAsia="en-GB"/>
        </w:rPr>
      </w:pPr>
    </w:p>
    <w:p w14:paraId="544A86D4" w14:textId="679279BF" w:rsidR="00F928EA" w:rsidRPr="0090147B" w:rsidRDefault="00F928EA" w:rsidP="00F928EA">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 xml:space="preserve">The Leader gave assurances that the Council would support all schemes as required e.g. the Lostock Hall lights even if they were not specifically identified in the report. </w:t>
      </w:r>
    </w:p>
    <w:p w14:paraId="5F60E27F" w14:textId="77777777" w:rsidR="00F928EA" w:rsidRPr="0090147B" w:rsidRDefault="00F928EA" w:rsidP="00F928EA">
      <w:pPr>
        <w:pStyle w:val="ListParagraph"/>
        <w:rPr>
          <w:rFonts w:ascii="Arial" w:eastAsia="Times New Roman" w:hAnsi="Arial" w:cs="Arial"/>
          <w:lang w:eastAsia="en-GB"/>
        </w:rPr>
      </w:pPr>
    </w:p>
    <w:p w14:paraId="79557B1C" w14:textId="6D583737" w:rsidR="00F928EA" w:rsidRPr="0090147B" w:rsidRDefault="00F928EA" w:rsidP="00F928EA">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The Cabinet agreed to:</w:t>
      </w:r>
    </w:p>
    <w:p w14:paraId="4A235F83" w14:textId="77777777" w:rsidR="00F928EA" w:rsidRPr="0090147B" w:rsidRDefault="00F928EA" w:rsidP="00F928EA">
      <w:pPr>
        <w:spacing w:after="0" w:line="240" w:lineRule="auto"/>
        <w:rPr>
          <w:rFonts w:ascii="Arial" w:eastAsia="Times New Roman" w:hAnsi="Arial" w:cs="Arial"/>
          <w:b/>
          <w:bCs/>
          <w:lang w:eastAsia="en-GB"/>
        </w:rPr>
      </w:pPr>
    </w:p>
    <w:p w14:paraId="3BF3A5B8" w14:textId="4674C7AF" w:rsidR="00F928EA" w:rsidRPr="0090147B" w:rsidRDefault="00F928EA" w:rsidP="00F928EA">
      <w:pPr>
        <w:pStyle w:val="ListParagraph"/>
        <w:numPr>
          <w:ilvl w:val="0"/>
          <w:numId w:val="34"/>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rPr>
      </w:pPr>
      <w:r w:rsidRPr="0090147B">
        <w:rPr>
          <w:rFonts w:ascii="Arial" w:hAnsi="Arial" w:cs="Arial"/>
        </w:rPr>
        <w:t>To approve the proposed structure for the events team outlined in the report.</w:t>
      </w:r>
    </w:p>
    <w:p w14:paraId="074C50A1" w14:textId="77777777" w:rsidR="00F928EA" w:rsidRPr="0090147B" w:rsidRDefault="00F928EA" w:rsidP="00F928EA">
      <w:pPr>
        <w:pBdr>
          <w:top w:val="single" w:sz="2" w:space="1" w:color="FFFFFF"/>
          <w:left w:val="single" w:sz="2" w:space="0" w:color="FFFFFF"/>
          <w:bottom w:val="single" w:sz="2" w:space="2" w:color="FFFFFF"/>
          <w:right w:val="single" w:sz="2" w:space="4" w:color="FFFFFF"/>
        </w:pBdr>
        <w:tabs>
          <w:tab w:val="left" w:pos="567"/>
        </w:tabs>
        <w:spacing w:after="0" w:line="240" w:lineRule="auto"/>
        <w:ind w:left="360" w:right="141"/>
        <w:contextualSpacing/>
        <w:jc w:val="both"/>
        <w:rPr>
          <w:rFonts w:ascii="Arial" w:hAnsi="Arial" w:cs="Arial"/>
        </w:rPr>
      </w:pPr>
    </w:p>
    <w:p w14:paraId="2EA3D65E" w14:textId="55EE5564" w:rsidR="00F928EA" w:rsidRPr="0090147B" w:rsidRDefault="00F928EA" w:rsidP="00F928EA">
      <w:pPr>
        <w:pStyle w:val="ListParagraph"/>
        <w:numPr>
          <w:ilvl w:val="0"/>
          <w:numId w:val="34"/>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rPr>
      </w:pPr>
      <w:r w:rsidRPr="0090147B">
        <w:rPr>
          <w:rFonts w:ascii="Arial" w:eastAsia="Times New Roman" w:hAnsi="Arial" w:cs="Arial"/>
          <w:color w:val="000000"/>
          <w:lang w:eastAsia="en-GB"/>
        </w:rPr>
        <w:t>To approve the action plan included in Appendix 1 to the report.</w:t>
      </w:r>
    </w:p>
    <w:p w14:paraId="19F675EA" w14:textId="645E9698" w:rsidR="00EF09C7" w:rsidRPr="0090147B" w:rsidRDefault="001C08CD" w:rsidP="00A715AD">
      <w:pPr>
        <w:pStyle w:val="Heading2"/>
        <w:rPr>
          <w:rFonts w:eastAsia="Calibri"/>
          <w:sz w:val="22"/>
          <w:szCs w:val="22"/>
        </w:rPr>
      </w:pPr>
      <w:r w:rsidRPr="0090147B">
        <w:rPr>
          <w:rFonts w:eastAsia="Calibri"/>
          <w:sz w:val="22"/>
          <w:szCs w:val="22"/>
        </w:rPr>
        <w:t>Leisure Centres Booking / Direct Debit Collection System</w:t>
      </w:r>
    </w:p>
    <w:p w14:paraId="4D1330ED" w14:textId="77777777" w:rsidR="009F0ED0" w:rsidRPr="0090147B" w:rsidRDefault="009F0ED0" w:rsidP="009F0ED0">
      <w:pPr>
        <w:pStyle w:val="ListParagraph"/>
        <w:tabs>
          <w:tab w:val="left" w:pos="567"/>
        </w:tabs>
        <w:spacing w:after="0" w:line="264" w:lineRule="auto"/>
        <w:ind w:left="501"/>
        <w:rPr>
          <w:rFonts w:ascii="Arial" w:eastAsia="Calibri" w:hAnsi="Arial" w:cs="Arial"/>
          <w:lang w:eastAsia="en-GB"/>
        </w:rPr>
      </w:pPr>
    </w:p>
    <w:p w14:paraId="16CDED53" w14:textId="37481145" w:rsidR="006840AE" w:rsidRPr="0090147B" w:rsidRDefault="006840AE" w:rsidP="006840AE">
      <w:pPr>
        <w:pStyle w:val="ListParagraph"/>
        <w:numPr>
          <w:ilvl w:val="0"/>
          <w:numId w:val="1"/>
        </w:numPr>
        <w:spacing w:after="0" w:line="240" w:lineRule="auto"/>
        <w:rPr>
          <w:rFonts w:ascii="Arial" w:eastAsia="Times New Roman" w:hAnsi="Arial" w:cs="Arial"/>
          <w:lang w:eastAsia="en-GB"/>
        </w:rPr>
      </w:pPr>
      <w:r w:rsidRPr="0090147B">
        <w:rPr>
          <w:rFonts w:ascii="Arial" w:eastAsia="Times New Roman" w:hAnsi="Arial" w:cs="Arial"/>
          <w:lang w:eastAsia="en-GB"/>
        </w:rPr>
        <w:t xml:space="preserve">The Cabinet Member (Communities, Social Justice and Wealth Building) presented a report requesting permission to procure a Booking System and payments for the Leisure Centres, and to procure a system to collect direct debits for membership. </w:t>
      </w:r>
    </w:p>
    <w:p w14:paraId="674B3E76" w14:textId="77777777" w:rsidR="004C5D10" w:rsidRPr="0090147B" w:rsidRDefault="004C5D10" w:rsidP="004C5D10">
      <w:pPr>
        <w:spacing w:after="0" w:line="240" w:lineRule="auto"/>
        <w:jc w:val="both"/>
        <w:rPr>
          <w:rFonts w:ascii="Arial" w:eastAsia="Times New Roman" w:hAnsi="Arial" w:cs="Arial"/>
          <w:lang w:eastAsia="en-GB"/>
        </w:rPr>
      </w:pPr>
    </w:p>
    <w:p w14:paraId="1101B665" w14:textId="3E1DEB60" w:rsidR="006840AE" w:rsidRPr="0090147B" w:rsidRDefault="006840AE" w:rsidP="004C5D10">
      <w:pPr>
        <w:pStyle w:val="ListParagraph"/>
        <w:numPr>
          <w:ilvl w:val="0"/>
          <w:numId w:val="1"/>
        </w:numPr>
        <w:spacing w:after="0" w:line="240" w:lineRule="auto"/>
        <w:jc w:val="both"/>
        <w:rPr>
          <w:rFonts w:ascii="Arial" w:eastAsia="Times New Roman" w:hAnsi="Arial" w:cs="Arial"/>
          <w:bCs/>
          <w:lang w:eastAsia="en-GB"/>
        </w:rPr>
      </w:pPr>
      <w:r w:rsidRPr="0090147B">
        <w:rPr>
          <w:rFonts w:ascii="Arial" w:eastAsia="Times New Roman" w:hAnsi="Arial" w:cs="Arial"/>
          <w:bCs/>
          <w:lang w:eastAsia="en-GB"/>
        </w:rPr>
        <w:t>Th</w:t>
      </w:r>
      <w:r w:rsidR="004C5D10" w:rsidRPr="0090147B">
        <w:rPr>
          <w:rFonts w:ascii="Arial" w:eastAsia="Times New Roman" w:hAnsi="Arial" w:cs="Arial"/>
          <w:bCs/>
          <w:lang w:eastAsia="en-GB"/>
        </w:rPr>
        <w:t>e</w:t>
      </w:r>
      <w:r w:rsidRPr="0090147B">
        <w:rPr>
          <w:rFonts w:ascii="Arial" w:eastAsia="Times New Roman" w:hAnsi="Arial" w:cs="Arial"/>
          <w:bCs/>
          <w:lang w:eastAsia="en-GB"/>
        </w:rPr>
        <w:t xml:space="preserve"> Cabinet agrees to waive procurement rules to allow the Council to enter into 2 separate contracts for 3 years as follows:</w:t>
      </w:r>
    </w:p>
    <w:p w14:paraId="09BEF2F9" w14:textId="77777777" w:rsidR="006840AE" w:rsidRPr="0090147B" w:rsidRDefault="006840AE" w:rsidP="006840AE">
      <w:pPr>
        <w:spacing w:after="0" w:line="240" w:lineRule="auto"/>
        <w:ind w:left="720"/>
        <w:jc w:val="both"/>
        <w:rPr>
          <w:rFonts w:ascii="Arial" w:eastAsia="Times New Roman" w:hAnsi="Arial" w:cs="Arial"/>
          <w:bCs/>
          <w:lang w:eastAsia="en-GB"/>
        </w:rPr>
      </w:pPr>
    </w:p>
    <w:p w14:paraId="7D7BE95C" w14:textId="77777777" w:rsidR="006840AE" w:rsidRPr="0090147B" w:rsidRDefault="006840AE" w:rsidP="004C5D10">
      <w:pPr>
        <w:spacing w:after="0" w:line="240" w:lineRule="auto"/>
        <w:ind w:firstLine="284"/>
        <w:jc w:val="both"/>
        <w:rPr>
          <w:rFonts w:ascii="Arial" w:eastAsia="Times New Roman" w:hAnsi="Arial" w:cs="Arial"/>
          <w:bCs/>
          <w:lang w:eastAsia="en-GB"/>
        </w:rPr>
      </w:pPr>
      <w:r w:rsidRPr="0090147B">
        <w:rPr>
          <w:rFonts w:ascii="Arial" w:eastAsia="Times New Roman" w:hAnsi="Arial" w:cs="Arial"/>
          <w:bCs/>
          <w:lang w:eastAsia="en-GB"/>
        </w:rPr>
        <w:t>Contract 1 – Leisure management Software</w:t>
      </w:r>
    </w:p>
    <w:p w14:paraId="15B46363" w14:textId="77777777" w:rsidR="006840AE" w:rsidRPr="0090147B" w:rsidRDefault="006840AE" w:rsidP="004C5D10">
      <w:pPr>
        <w:spacing w:after="0" w:line="240" w:lineRule="auto"/>
        <w:ind w:firstLine="284"/>
        <w:jc w:val="both"/>
        <w:rPr>
          <w:rFonts w:ascii="Arial" w:eastAsia="Times New Roman" w:hAnsi="Arial" w:cs="Arial"/>
          <w:bCs/>
          <w:lang w:eastAsia="en-GB"/>
        </w:rPr>
      </w:pPr>
      <w:r w:rsidRPr="0090147B">
        <w:rPr>
          <w:rFonts w:ascii="Arial" w:eastAsia="Times New Roman" w:hAnsi="Arial" w:cs="Arial"/>
          <w:bCs/>
          <w:lang w:eastAsia="en-GB"/>
        </w:rPr>
        <w:t xml:space="preserve">Contract 2 – Direct Debit bureau and Contact Centre, </w:t>
      </w:r>
    </w:p>
    <w:p w14:paraId="44559545" w14:textId="77777777" w:rsidR="006840AE" w:rsidRPr="0090147B" w:rsidRDefault="006840AE" w:rsidP="006840AE">
      <w:pPr>
        <w:spacing w:after="0" w:line="240" w:lineRule="auto"/>
        <w:jc w:val="both"/>
        <w:rPr>
          <w:rFonts w:ascii="Arial" w:eastAsia="Times New Roman" w:hAnsi="Arial" w:cs="Arial"/>
          <w:bCs/>
          <w:lang w:eastAsia="en-GB"/>
        </w:rPr>
      </w:pPr>
    </w:p>
    <w:p w14:paraId="224C5CC6" w14:textId="77777777" w:rsidR="006840AE" w:rsidRPr="0090147B" w:rsidRDefault="006840AE" w:rsidP="004C5D10">
      <w:pPr>
        <w:spacing w:after="0" w:line="240" w:lineRule="auto"/>
        <w:ind w:firstLine="284"/>
        <w:jc w:val="both"/>
        <w:rPr>
          <w:rFonts w:ascii="Arial" w:eastAsia="Times New Roman" w:hAnsi="Arial" w:cs="Arial"/>
          <w:bCs/>
          <w:lang w:eastAsia="en-GB"/>
        </w:rPr>
      </w:pPr>
      <w:r w:rsidRPr="0090147B">
        <w:rPr>
          <w:rFonts w:ascii="Arial" w:eastAsia="Times New Roman" w:hAnsi="Arial" w:cs="Arial"/>
          <w:bCs/>
          <w:lang w:eastAsia="en-GB"/>
        </w:rPr>
        <w:t>as detailed in the confidential report.</w:t>
      </w:r>
    </w:p>
    <w:p w14:paraId="203554C7" w14:textId="5C4604B9" w:rsidR="009C0978" w:rsidRPr="0090147B" w:rsidRDefault="006840AE" w:rsidP="00A715AD">
      <w:pPr>
        <w:pStyle w:val="Heading2"/>
        <w:rPr>
          <w:rFonts w:eastAsia="Calibri"/>
          <w:sz w:val="22"/>
          <w:szCs w:val="22"/>
        </w:rPr>
      </w:pPr>
      <w:r w:rsidRPr="0090147B">
        <w:rPr>
          <w:rFonts w:eastAsia="Calibri"/>
          <w:sz w:val="22"/>
          <w:szCs w:val="22"/>
        </w:rPr>
        <w:t>D</w:t>
      </w:r>
      <w:r w:rsidR="00736D83" w:rsidRPr="0090147B">
        <w:rPr>
          <w:rFonts w:eastAsia="Calibri"/>
          <w:sz w:val="22"/>
          <w:szCs w:val="22"/>
        </w:rPr>
        <w:t>ecisions taken under the General Exception Procedure in accordance with</w:t>
      </w:r>
      <w:r w:rsidRPr="0090147B">
        <w:rPr>
          <w:rFonts w:eastAsia="Calibri"/>
          <w:sz w:val="22"/>
          <w:szCs w:val="22"/>
        </w:rPr>
        <w:t xml:space="preserve"> P</w:t>
      </w:r>
      <w:r w:rsidR="00736D83" w:rsidRPr="0090147B">
        <w:rPr>
          <w:rFonts w:eastAsia="Calibri"/>
          <w:sz w:val="22"/>
          <w:szCs w:val="22"/>
        </w:rPr>
        <w:t>aragraph 17</w:t>
      </w:r>
      <w:r w:rsidRPr="0090147B">
        <w:rPr>
          <w:rFonts w:eastAsia="Calibri"/>
          <w:sz w:val="22"/>
          <w:szCs w:val="22"/>
        </w:rPr>
        <w:t xml:space="preserve"> </w:t>
      </w:r>
      <w:r w:rsidR="00736D83" w:rsidRPr="0090147B">
        <w:rPr>
          <w:rFonts w:eastAsia="Calibri"/>
          <w:sz w:val="22"/>
          <w:szCs w:val="22"/>
        </w:rPr>
        <w:t xml:space="preserve">of Part 4C of the Council’s Constitution </w:t>
      </w:r>
    </w:p>
    <w:p w14:paraId="077D4DEC" w14:textId="6D22F9F3" w:rsidR="004C5D10" w:rsidRPr="0090147B" w:rsidRDefault="004C5D10" w:rsidP="009C0978">
      <w:pPr>
        <w:keepNext/>
        <w:spacing w:line="252" w:lineRule="auto"/>
        <w:outlineLvl w:val="0"/>
        <w:rPr>
          <w:rFonts w:ascii="Arial" w:eastAsia="Calibri" w:hAnsi="Arial" w:cs="Arial"/>
          <w:b/>
        </w:rPr>
      </w:pPr>
    </w:p>
    <w:p w14:paraId="71DBC75A" w14:textId="6C299844" w:rsidR="004C5D10" w:rsidRPr="0090147B" w:rsidRDefault="004C5D10" w:rsidP="004C5D10">
      <w:pPr>
        <w:pStyle w:val="ListParagraph"/>
        <w:keepNext/>
        <w:numPr>
          <w:ilvl w:val="0"/>
          <w:numId w:val="1"/>
        </w:numPr>
        <w:spacing w:line="252" w:lineRule="auto"/>
        <w:outlineLvl w:val="0"/>
        <w:rPr>
          <w:rFonts w:ascii="Arial" w:eastAsia="Calibri" w:hAnsi="Arial" w:cs="Arial"/>
          <w:b/>
        </w:rPr>
      </w:pPr>
      <w:r w:rsidRPr="0090147B">
        <w:rPr>
          <w:rFonts w:ascii="Arial" w:hAnsi="Arial" w:cs="Arial"/>
          <w:bCs/>
        </w:rPr>
        <w:t>Paragraph19.2 of the Council Constitution states that</w:t>
      </w:r>
      <w:r w:rsidRPr="0090147B">
        <w:rPr>
          <w:rFonts w:ascii="Arial" w:hAnsi="Arial" w:cs="Arial"/>
          <w:b/>
          <w:bCs/>
        </w:rPr>
        <w:t xml:space="preserve"> “</w:t>
      </w:r>
      <w:r w:rsidRPr="0090147B">
        <w:rPr>
          <w:rFonts w:ascii="Arial" w:hAnsi="Arial" w:cs="Arial"/>
        </w:rPr>
        <w:t>the Cabinet must prepare a report to the next available Council meeting setting out the details of any executive decision taken without giving 28 days’ notice under the procedure set out in Rule 17 (Key Decision – General Exception)”.</w:t>
      </w:r>
    </w:p>
    <w:p w14:paraId="12C3508F" w14:textId="77777777" w:rsidR="004C5D10" w:rsidRPr="0090147B" w:rsidRDefault="004C5D10" w:rsidP="004C5D10">
      <w:pPr>
        <w:pStyle w:val="ListParagraph"/>
        <w:keepNext/>
        <w:spacing w:line="252" w:lineRule="auto"/>
        <w:ind w:left="644"/>
        <w:outlineLvl w:val="0"/>
        <w:rPr>
          <w:rFonts w:ascii="Arial" w:eastAsia="Calibri" w:hAnsi="Arial" w:cs="Arial"/>
          <w:b/>
        </w:rPr>
      </w:pPr>
    </w:p>
    <w:p w14:paraId="1F0EAB39" w14:textId="361C7B83" w:rsidR="004C5D10" w:rsidRPr="0090147B" w:rsidRDefault="006840AE" w:rsidP="009C4291">
      <w:pPr>
        <w:pStyle w:val="ListParagraph"/>
        <w:keepNext/>
        <w:numPr>
          <w:ilvl w:val="0"/>
          <w:numId w:val="1"/>
        </w:numPr>
        <w:spacing w:line="252" w:lineRule="auto"/>
        <w:outlineLvl w:val="0"/>
        <w:rPr>
          <w:rFonts w:ascii="Arial" w:eastAsia="Calibri" w:hAnsi="Arial" w:cs="Arial"/>
        </w:rPr>
      </w:pPr>
      <w:r w:rsidRPr="0090147B">
        <w:rPr>
          <w:rFonts w:ascii="Arial" w:eastAsia="Calibri" w:hAnsi="Arial" w:cs="Arial"/>
        </w:rPr>
        <w:t xml:space="preserve">Please see below a list of </w:t>
      </w:r>
      <w:r w:rsidR="006B28CE" w:rsidRPr="0090147B">
        <w:rPr>
          <w:rFonts w:ascii="Arial" w:eastAsia="Calibri" w:hAnsi="Arial" w:cs="Arial"/>
        </w:rPr>
        <w:t>e</w:t>
      </w:r>
      <w:r w:rsidR="004C5D10" w:rsidRPr="0090147B">
        <w:rPr>
          <w:rFonts w:ascii="Arial" w:eastAsia="Calibri" w:hAnsi="Arial" w:cs="Arial"/>
        </w:rPr>
        <w:t xml:space="preserve">xecutive </w:t>
      </w:r>
      <w:r w:rsidRPr="0090147B">
        <w:rPr>
          <w:rFonts w:ascii="Arial" w:eastAsia="Calibri" w:hAnsi="Arial" w:cs="Arial"/>
        </w:rPr>
        <w:t>key decisions</w:t>
      </w:r>
      <w:r w:rsidR="004C5D10" w:rsidRPr="0090147B">
        <w:rPr>
          <w:rFonts w:ascii="Arial" w:eastAsia="Calibri" w:hAnsi="Arial" w:cs="Arial"/>
        </w:rPr>
        <w:t xml:space="preserve">, </w:t>
      </w:r>
      <w:r w:rsidRPr="0090147B">
        <w:rPr>
          <w:rFonts w:ascii="Arial" w:eastAsia="Calibri" w:hAnsi="Arial" w:cs="Arial"/>
        </w:rPr>
        <w:t xml:space="preserve">decisions </w:t>
      </w:r>
      <w:r w:rsidR="004C5D10" w:rsidRPr="0090147B">
        <w:rPr>
          <w:rFonts w:ascii="Arial" w:eastAsia="Calibri" w:hAnsi="Arial" w:cs="Arial"/>
        </w:rPr>
        <w:t xml:space="preserve">which were exempt or confidential and decisions taken by the Cabinet in private for which it was impracticable to give 28 days’ notice on the Cabinet Forward Plan. </w:t>
      </w:r>
    </w:p>
    <w:p w14:paraId="3162E43A" w14:textId="1AB36CF2" w:rsidR="00D57E78" w:rsidRPr="0090147B" w:rsidRDefault="00D57E78" w:rsidP="00D57E78">
      <w:pPr>
        <w:pStyle w:val="ListParagraph"/>
        <w:rPr>
          <w:rFonts w:ascii="Arial" w:eastAsia="Calibri" w:hAnsi="Arial" w:cs="Arial"/>
        </w:rPr>
      </w:pPr>
    </w:p>
    <w:tbl>
      <w:tblPr>
        <w:tblStyle w:val="TableGrid"/>
        <w:tblW w:w="0" w:type="auto"/>
        <w:tblLook w:val="04A0" w:firstRow="1" w:lastRow="0" w:firstColumn="1" w:lastColumn="0" w:noHBand="0" w:noVBand="1"/>
      </w:tblPr>
      <w:tblGrid>
        <w:gridCol w:w="3005"/>
        <w:gridCol w:w="3005"/>
        <w:gridCol w:w="3006"/>
      </w:tblGrid>
      <w:tr w:rsidR="00A715AD" w:rsidRPr="0090147B" w14:paraId="3E4215F6" w14:textId="77777777" w:rsidTr="00CA00FC">
        <w:trPr>
          <w:tblHeader/>
        </w:trPr>
        <w:tc>
          <w:tcPr>
            <w:tcW w:w="3005" w:type="dxa"/>
          </w:tcPr>
          <w:p w14:paraId="5676CD83" w14:textId="77777777" w:rsidR="00A715AD" w:rsidRPr="0090147B" w:rsidRDefault="00A715AD" w:rsidP="00CA00FC">
            <w:pPr>
              <w:keepNext/>
              <w:spacing w:line="252" w:lineRule="auto"/>
              <w:outlineLvl w:val="0"/>
              <w:rPr>
                <w:rFonts w:ascii="Arial" w:eastAsia="Calibri" w:hAnsi="Arial" w:cs="Arial"/>
                <w:b/>
              </w:rPr>
            </w:pPr>
            <w:r w:rsidRPr="0090147B">
              <w:rPr>
                <w:rFonts w:ascii="Arial" w:eastAsia="Calibri" w:hAnsi="Arial" w:cs="Arial"/>
                <w:b/>
              </w:rPr>
              <w:lastRenderedPageBreak/>
              <w:t>Decision</w:t>
            </w:r>
          </w:p>
        </w:tc>
        <w:tc>
          <w:tcPr>
            <w:tcW w:w="3005" w:type="dxa"/>
          </w:tcPr>
          <w:p w14:paraId="26B6F6AE" w14:textId="77777777" w:rsidR="00A715AD" w:rsidRPr="0090147B" w:rsidRDefault="00A715AD" w:rsidP="00CA00FC">
            <w:pPr>
              <w:keepNext/>
              <w:spacing w:line="252" w:lineRule="auto"/>
              <w:outlineLvl w:val="0"/>
              <w:rPr>
                <w:rFonts w:ascii="Arial" w:eastAsia="Calibri" w:hAnsi="Arial" w:cs="Arial"/>
                <w:b/>
              </w:rPr>
            </w:pPr>
            <w:r w:rsidRPr="0090147B">
              <w:rPr>
                <w:rFonts w:ascii="Arial" w:eastAsia="Calibri" w:hAnsi="Arial" w:cs="Arial"/>
                <w:b/>
              </w:rPr>
              <w:t>Date and Decision Maker</w:t>
            </w:r>
          </w:p>
        </w:tc>
        <w:tc>
          <w:tcPr>
            <w:tcW w:w="3006" w:type="dxa"/>
          </w:tcPr>
          <w:p w14:paraId="54222DC1" w14:textId="77777777" w:rsidR="00A715AD" w:rsidRPr="0090147B" w:rsidRDefault="00A715AD" w:rsidP="00CA00FC">
            <w:pPr>
              <w:keepNext/>
              <w:spacing w:line="252" w:lineRule="auto"/>
              <w:outlineLvl w:val="0"/>
              <w:rPr>
                <w:rFonts w:ascii="Arial" w:eastAsia="Calibri" w:hAnsi="Arial" w:cs="Arial"/>
                <w:b/>
              </w:rPr>
            </w:pPr>
            <w:r w:rsidRPr="0090147B">
              <w:rPr>
                <w:rFonts w:ascii="Arial" w:eastAsia="Calibri" w:hAnsi="Arial" w:cs="Arial"/>
                <w:b/>
              </w:rPr>
              <w:t>Reasons for giving less than 28 days’ notice on the Cabinet Forward Plan</w:t>
            </w:r>
          </w:p>
        </w:tc>
      </w:tr>
      <w:tr w:rsidR="00A715AD" w:rsidRPr="0090147B" w14:paraId="673C78C4" w14:textId="77777777" w:rsidTr="00CA00FC">
        <w:tc>
          <w:tcPr>
            <w:tcW w:w="3005" w:type="dxa"/>
          </w:tcPr>
          <w:p w14:paraId="085157D6" w14:textId="77777777" w:rsidR="00A715AD" w:rsidRPr="0090147B" w:rsidRDefault="00A715AD" w:rsidP="00CA00FC">
            <w:pPr>
              <w:keepNext/>
              <w:spacing w:line="252" w:lineRule="auto"/>
              <w:outlineLvl w:val="0"/>
              <w:rPr>
                <w:rFonts w:ascii="Arial" w:eastAsia="Calibri" w:hAnsi="Arial" w:cs="Arial"/>
                <w:b/>
              </w:rPr>
            </w:pPr>
            <w:r w:rsidRPr="0090147B">
              <w:rPr>
                <w:rFonts w:ascii="Arial" w:hAnsi="Arial" w:cs="Arial"/>
                <w:b/>
                <w:lang w:val="en"/>
              </w:rPr>
              <w:t xml:space="preserve">Worden Hall and McKenzie Arms - Procurement of Project Management and Quantity Surveying Support </w:t>
            </w:r>
            <w:r w:rsidRPr="0090147B">
              <w:rPr>
                <w:rFonts w:ascii="Arial" w:hAnsi="Arial" w:cs="Arial"/>
                <w:lang w:val="en"/>
              </w:rPr>
              <w:t>(contains exempt information)</w:t>
            </w:r>
          </w:p>
          <w:p w14:paraId="33A35B93" w14:textId="77777777" w:rsidR="00A715AD" w:rsidRPr="0090147B" w:rsidRDefault="00A715AD" w:rsidP="00CA00FC">
            <w:pPr>
              <w:keepNext/>
              <w:spacing w:line="252" w:lineRule="auto"/>
              <w:outlineLvl w:val="0"/>
              <w:rPr>
                <w:rFonts w:ascii="Arial" w:eastAsia="Calibri" w:hAnsi="Arial" w:cs="Arial"/>
              </w:rPr>
            </w:pPr>
          </w:p>
        </w:tc>
        <w:tc>
          <w:tcPr>
            <w:tcW w:w="3005" w:type="dxa"/>
          </w:tcPr>
          <w:p w14:paraId="1CFCDE09" w14:textId="77777777" w:rsidR="00A715AD" w:rsidRPr="0090147B" w:rsidRDefault="00A715AD" w:rsidP="00CA00FC">
            <w:pPr>
              <w:keepNext/>
              <w:spacing w:line="252" w:lineRule="auto"/>
              <w:outlineLvl w:val="0"/>
              <w:rPr>
                <w:rFonts w:ascii="Arial" w:eastAsia="Calibri" w:hAnsi="Arial" w:cs="Arial"/>
              </w:rPr>
            </w:pPr>
            <w:r w:rsidRPr="0090147B">
              <w:rPr>
                <w:rFonts w:ascii="Arial" w:eastAsia="Calibri" w:hAnsi="Arial" w:cs="Arial"/>
              </w:rPr>
              <w:t>21 January 2021</w:t>
            </w:r>
          </w:p>
          <w:p w14:paraId="2BDECB9F" w14:textId="77777777" w:rsidR="00A715AD" w:rsidRPr="0090147B" w:rsidRDefault="00A715AD" w:rsidP="00CA00FC">
            <w:pPr>
              <w:keepNext/>
              <w:spacing w:line="252" w:lineRule="auto"/>
              <w:outlineLvl w:val="0"/>
              <w:rPr>
                <w:rFonts w:ascii="Arial" w:eastAsia="Calibri" w:hAnsi="Arial" w:cs="Arial"/>
              </w:rPr>
            </w:pPr>
            <w:r w:rsidRPr="0090147B">
              <w:rPr>
                <w:rFonts w:ascii="Arial" w:eastAsia="Calibri" w:hAnsi="Arial" w:cs="Arial"/>
              </w:rPr>
              <w:t>Cabinet Member (Finance, Property and Assets)</w:t>
            </w:r>
          </w:p>
        </w:tc>
        <w:tc>
          <w:tcPr>
            <w:tcW w:w="3006" w:type="dxa"/>
          </w:tcPr>
          <w:p w14:paraId="1D367020" w14:textId="77777777" w:rsidR="00A715AD" w:rsidRPr="0090147B" w:rsidRDefault="00A715AD" w:rsidP="00CA00FC">
            <w:pPr>
              <w:keepNext/>
              <w:spacing w:line="252" w:lineRule="auto"/>
              <w:outlineLvl w:val="0"/>
              <w:rPr>
                <w:rFonts w:ascii="Arial" w:hAnsi="Arial" w:cs="Arial"/>
                <w:lang w:val="en"/>
              </w:rPr>
            </w:pPr>
            <w:r w:rsidRPr="0090147B">
              <w:rPr>
                <w:rFonts w:ascii="Arial" w:hAnsi="Arial" w:cs="Arial"/>
                <w:lang w:val="en"/>
              </w:rPr>
              <w:t xml:space="preserve">It was impracticable to give 28 days’ notice of this decision on the Forward Plan due to the need to award the contract at the earliest opportunity to ensure both schemes are delivered on time and on </w:t>
            </w:r>
          </w:p>
          <w:p w14:paraId="4C783B8A" w14:textId="77777777" w:rsidR="00A715AD" w:rsidRPr="0090147B" w:rsidRDefault="00A715AD" w:rsidP="00CA00FC">
            <w:pPr>
              <w:keepNext/>
              <w:spacing w:line="252" w:lineRule="auto"/>
              <w:outlineLvl w:val="0"/>
              <w:rPr>
                <w:rFonts w:ascii="Arial" w:hAnsi="Arial" w:cs="Arial"/>
                <w:lang w:val="en"/>
              </w:rPr>
            </w:pPr>
            <w:r w:rsidRPr="0090147B">
              <w:rPr>
                <w:rFonts w:ascii="Arial" w:hAnsi="Arial" w:cs="Arial"/>
                <w:lang w:val="en"/>
              </w:rPr>
              <w:t>budget to an acceptable standard.</w:t>
            </w:r>
          </w:p>
          <w:p w14:paraId="3B90F4A6" w14:textId="77777777" w:rsidR="00A715AD" w:rsidRPr="0090147B" w:rsidRDefault="00A715AD" w:rsidP="00CA00FC">
            <w:pPr>
              <w:keepNext/>
              <w:spacing w:line="252" w:lineRule="auto"/>
              <w:outlineLvl w:val="0"/>
              <w:rPr>
                <w:rFonts w:ascii="Arial" w:eastAsia="Calibri" w:hAnsi="Arial" w:cs="Arial"/>
              </w:rPr>
            </w:pPr>
            <w:r w:rsidRPr="0090147B">
              <w:rPr>
                <w:rFonts w:ascii="Arial" w:hAnsi="Arial" w:cs="Arial"/>
              </w:rPr>
              <w:t xml:space="preserve">South </w:t>
            </w:r>
            <w:proofErr w:type="spellStart"/>
            <w:r w:rsidRPr="0090147B">
              <w:rPr>
                <w:rFonts w:ascii="Arial" w:hAnsi="Arial" w:cs="Arial"/>
              </w:rPr>
              <w:t>Ribble</w:t>
            </w:r>
            <w:proofErr w:type="spellEnd"/>
            <w:r w:rsidRPr="0090147B">
              <w:rPr>
                <w:rFonts w:ascii="Arial" w:hAnsi="Arial" w:cs="Arial"/>
              </w:rPr>
              <w:t xml:space="preserve"> Borough Council did not have the internal resource capacity to progress the design for each scheme and to prepare documentation to progress the key works packages such as the procurement of contractors to deliver the schemes and the ongoing contract administration. It was also critically important that cost was managed as the project progresses to ensure the budget was maintained. Given the key dates that needed to be achieved it did not allow sufficient time to deliver complete a competitive tender exercise for these activities.</w:t>
            </w:r>
          </w:p>
          <w:p w14:paraId="43066423" w14:textId="77777777" w:rsidR="00A715AD" w:rsidRPr="0090147B" w:rsidRDefault="00A715AD" w:rsidP="00CA00FC">
            <w:pPr>
              <w:keepNext/>
              <w:spacing w:line="252" w:lineRule="auto"/>
              <w:outlineLvl w:val="0"/>
              <w:rPr>
                <w:rFonts w:ascii="Arial" w:eastAsia="Calibri" w:hAnsi="Arial" w:cs="Arial"/>
              </w:rPr>
            </w:pPr>
          </w:p>
        </w:tc>
      </w:tr>
      <w:tr w:rsidR="00890B4E" w:rsidRPr="0090147B" w14:paraId="0612746C" w14:textId="77777777" w:rsidTr="00890B4E">
        <w:tc>
          <w:tcPr>
            <w:tcW w:w="3005" w:type="dxa"/>
          </w:tcPr>
          <w:p w14:paraId="7186243A" w14:textId="5ACF3ABC" w:rsidR="00832717" w:rsidRPr="0090147B" w:rsidRDefault="00FF34E1" w:rsidP="00D57E78">
            <w:pPr>
              <w:keepNext/>
              <w:spacing w:line="252" w:lineRule="auto"/>
              <w:outlineLvl w:val="0"/>
              <w:rPr>
                <w:rFonts w:ascii="Arial" w:eastAsia="Calibri" w:hAnsi="Arial" w:cs="Arial"/>
                <w:b/>
              </w:rPr>
            </w:pPr>
            <w:r w:rsidRPr="0090147B">
              <w:rPr>
                <w:rFonts w:ascii="Arial" w:eastAsia="Calibri" w:hAnsi="Arial" w:cs="Arial"/>
                <w:b/>
              </w:rPr>
              <w:t xml:space="preserve">Provision of a Loan and Grant to facilitate a works project to the </w:t>
            </w:r>
            <w:proofErr w:type="spellStart"/>
            <w:r w:rsidRPr="0090147B">
              <w:rPr>
                <w:rFonts w:ascii="Arial" w:eastAsia="Calibri" w:hAnsi="Arial" w:cs="Arial"/>
                <w:b/>
              </w:rPr>
              <w:t>Hoole</w:t>
            </w:r>
            <w:proofErr w:type="spellEnd"/>
            <w:r w:rsidRPr="0090147B">
              <w:rPr>
                <w:rFonts w:ascii="Arial" w:eastAsia="Calibri" w:hAnsi="Arial" w:cs="Arial"/>
                <w:b/>
              </w:rPr>
              <w:t xml:space="preserve"> Village Memorial Hall</w:t>
            </w:r>
          </w:p>
          <w:p w14:paraId="126685DB" w14:textId="104C59B4" w:rsidR="00832717" w:rsidRPr="0090147B" w:rsidRDefault="006A4B97" w:rsidP="006A4B97">
            <w:pPr>
              <w:keepNext/>
              <w:spacing w:line="252" w:lineRule="auto"/>
              <w:outlineLvl w:val="0"/>
              <w:rPr>
                <w:rFonts w:ascii="Arial" w:eastAsia="Calibri" w:hAnsi="Arial" w:cs="Arial"/>
              </w:rPr>
            </w:pPr>
            <w:r w:rsidRPr="0090147B">
              <w:rPr>
                <w:rFonts w:ascii="Arial" w:eastAsia="Calibri" w:hAnsi="Arial" w:cs="Arial"/>
              </w:rPr>
              <w:t>(</w:t>
            </w:r>
            <w:r w:rsidR="00CD3354" w:rsidRPr="0090147B">
              <w:rPr>
                <w:rFonts w:ascii="Arial" w:eastAsia="Calibri" w:hAnsi="Arial" w:cs="Arial"/>
              </w:rPr>
              <w:t>Key decision</w:t>
            </w:r>
            <w:r w:rsidRPr="0090147B">
              <w:rPr>
                <w:rFonts w:ascii="Arial" w:eastAsia="Calibri" w:hAnsi="Arial" w:cs="Arial"/>
              </w:rPr>
              <w:t>)</w:t>
            </w:r>
          </w:p>
        </w:tc>
        <w:tc>
          <w:tcPr>
            <w:tcW w:w="3005" w:type="dxa"/>
          </w:tcPr>
          <w:p w14:paraId="06659838" w14:textId="77777777" w:rsidR="00890B4E" w:rsidRPr="0090147B" w:rsidRDefault="00FF34E1" w:rsidP="00D57E78">
            <w:pPr>
              <w:keepNext/>
              <w:spacing w:line="252" w:lineRule="auto"/>
              <w:outlineLvl w:val="0"/>
              <w:rPr>
                <w:rFonts w:ascii="Arial" w:eastAsia="Calibri" w:hAnsi="Arial" w:cs="Arial"/>
              </w:rPr>
            </w:pPr>
            <w:r w:rsidRPr="0090147B">
              <w:rPr>
                <w:rFonts w:ascii="Arial" w:eastAsia="Calibri" w:hAnsi="Arial" w:cs="Arial"/>
              </w:rPr>
              <w:t>29 January 2021</w:t>
            </w:r>
          </w:p>
          <w:p w14:paraId="0229E579" w14:textId="545A40B0" w:rsidR="00911F80" w:rsidRPr="0090147B" w:rsidRDefault="00911F80" w:rsidP="00D57E78">
            <w:pPr>
              <w:keepNext/>
              <w:spacing w:line="252" w:lineRule="auto"/>
              <w:outlineLvl w:val="0"/>
              <w:rPr>
                <w:rFonts w:ascii="Arial" w:eastAsia="Calibri" w:hAnsi="Arial" w:cs="Arial"/>
              </w:rPr>
            </w:pPr>
            <w:r w:rsidRPr="0090147B">
              <w:rPr>
                <w:rFonts w:ascii="Arial" w:eastAsia="Calibri" w:hAnsi="Arial" w:cs="Arial"/>
              </w:rPr>
              <w:t>Cabinet</w:t>
            </w:r>
          </w:p>
        </w:tc>
        <w:tc>
          <w:tcPr>
            <w:tcW w:w="3006" w:type="dxa"/>
          </w:tcPr>
          <w:p w14:paraId="1C550E4E" w14:textId="69F8FE9A" w:rsidR="00890B4E" w:rsidRPr="0090147B" w:rsidRDefault="00FF34E1" w:rsidP="00CD3354">
            <w:pPr>
              <w:rPr>
                <w:rFonts w:ascii="Arial" w:eastAsia="Calibri" w:hAnsi="Arial" w:cs="Arial"/>
              </w:rPr>
            </w:pPr>
            <w:r w:rsidRPr="0090147B">
              <w:rPr>
                <w:rFonts w:ascii="Arial" w:hAnsi="Arial" w:cs="Arial"/>
              </w:rPr>
              <w:t xml:space="preserve">This key decision had not been published on the Forward Plan because the original intention was for this to be an Executive Member decision later in February. However, the Director of </w:t>
            </w:r>
            <w:r w:rsidR="00E94C86" w:rsidRPr="0090147B">
              <w:rPr>
                <w:rFonts w:ascii="Arial" w:hAnsi="Arial" w:cs="Arial"/>
              </w:rPr>
              <w:t>G</w:t>
            </w:r>
            <w:r w:rsidRPr="0090147B">
              <w:rPr>
                <w:rFonts w:ascii="Arial" w:hAnsi="Arial" w:cs="Arial"/>
              </w:rPr>
              <w:t xml:space="preserve">overnance and </w:t>
            </w:r>
            <w:r w:rsidR="00E94C86" w:rsidRPr="0090147B">
              <w:rPr>
                <w:rFonts w:ascii="Arial" w:hAnsi="Arial" w:cs="Arial"/>
              </w:rPr>
              <w:t>M</w:t>
            </w:r>
            <w:r w:rsidRPr="0090147B">
              <w:rPr>
                <w:rFonts w:ascii="Arial" w:hAnsi="Arial" w:cs="Arial"/>
              </w:rPr>
              <w:t xml:space="preserve">onitoring Officer determined that the matter was more appropriate to go to Cabinet the next meeting of which was on 10 Feb. </w:t>
            </w:r>
          </w:p>
        </w:tc>
      </w:tr>
      <w:tr w:rsidR="00911F80" w:rsidRPr="0090147B" w14:paraId="2E3F8732" w14:textId="77777777" w:rsidTr="00890B4E">
        <w:tc>
          <w:tcPr>
            <w:tcW w:w="3005" w:type="dxa"/>
          </w:tcPr>
          <w:p w14:paraId="1F368A3F" w14:textId="77777777" w:rsidR="008E6407" w:rsidRPr="0090147B" w:rsidRDefault="00911F80" w:rsidP="00911F80">
            <w:pPr>
              <w:keepNext/>
              <w:spacing w:line="252" w:lineRule="auto"/>
              <w:outlineLvl w:val="0"/>
              <w:rPr>
                <w:rFonts w:ascii="Arial" w:hAnsi="Arial" w:cs="Arial"/>
                <w:b/>
                <w:lang w:val="en"/>
              </w:rPr>
            </w:pPr>
            <w:r w:rsidRPr="0090147B">
              <w:rPr>
                <w:rFonts w:ascii="Arial" w:hAnsi="Arial" w:cs="Arial"/>
                <w:b/>
                <w:lang w:val="en"/>
              </w:rPr>
              <w:lastRenderedPageBreak/>
              <w:t xml:space="preserve">OLEV, On-street Residential </w:t>
            </w:r>
            <w:proofErr w:type="spellStart"/>
            <w:r w:rsidRPr="0090147B">
              <w:rPr>
                <w:rFonts w:ascii="Arial" w:hAnsi="Arial" w:cs="Arial"/>
                <w:b/>
                <w:lang w:val="en"/>
              </w:rPr>
              <w:t>Chargepoint</w:t>
            </w:r>
            <w:proofErr w:type="spellEnd"/>
            <w:r w:rsidRPr="0090147B">
              <w:rPr>
                <w:rFonts w:ascii="Arial" w:hAnsi="Arial" w:cs="Arial"/>
                <w:b/>
                <w:lang w:val="en"/>
              </w:rPr>
              <w:t xml:space="preserve"> Scheme (ORCS) Grant Bid Application</w:t>
            </w:r>
            <w:r w:rsidR="00B76FBB" w:rsidRPr="0090147B">
              <w:rPr>
                <w:rFonts w:ascii="Arial" w:hAnsi="Arial" w:cs="Arial"/>
                <w:b/>
                <w:lang w:val="en"/>
              </w:rPr>
              <w:t xml:space="preserve"> </w:t>
            </w:r>
          </w:p>
          <w:p w14:paraId="016AEF6B" w14:textId="045DD810" w:rsidR="00911F80" w:rsidRPr="0090147B" w:rsidRDefault="00B76FBB" w:rsidP="00911F80">
            <w:pPr>
              <w:keepNext/>
              <w:spacing w:line="252" w:lineRule="auto"/>
              <w:outlineLvl w:val="0"/>
              <w:rPr>
                <w:rFonts w:ascii="Arial" w:eastAsia="Calibri" w:hAnsi="Arial" w:cs="Arial"/>
                <w:b/>
              </w:rPr>
            </w:pPr>
            <w:r w:rsidRPr="0090147B">
              <w:rPr>
                <w:rFonts w:ascii="Arial" w:hAnsi="Arial" w:cs="Arial"/>
                <w:lang w:val="en"/>
              </w:rPr>
              <w:t>(key decision)</w:t>
            </w:r>
          </w:p>
          <w:p w14:paraId="36C65A41" w14:textId="72813046" w:rsidR="00911F80" w:rsidRPr="0090147B" w:rsidRDefault="00911F80" w:rsidP="00D57E78">
            <w:pPr>
              <w:keepNext/>
              <w:spacing w:line="252" w:lineRule="auto"/>
              <w:outlineLvl w:val="0"/>
              <w:rPr>
                <w:rFonts w:ascii="Arial" w:hAnsi="Arial" w:cs="Arial"/>
                <w:b/>
                <w:lang w:val="en"/>
              </w:rPr>
            </w:pPr>
          </w:p>
          <w:p w14:paraId="6125E444" w14:textId="05B2E1D8" w:rsidR="00911F80" w:rsidRPr="0090147B" w:rsidRDefault="00911F80" w:rsidP="00D57E78">
            <w:pPr>
              <w:keepNext/>
              <w:spacing w:line="252" w:lineRule="auto"/>
              <w:outlineLvl w:val="0"/>
              <w:rPr>
                <w:rFonts w:ascii="Arial" w:hAnsi="Arial" w:cs="Arial"/>
                <w:b/>
                <w:lang w:val="en"/>
              </w:rPr>
            </w:pPr>
          </w:p>
          <w:p w14:paraId="3A8EC67A" w14:textId="77777777" w:rsidR="00911F80" w:rsidRPr="0090147B" w:rsidRDefault="00911F80" w:rsidP="00D57E78">
            <w:pPr>
              <w:keepNext/>
              <w:spacing w:line="252" w:lineRule="auto"/>
              <w:outlineLvl w:val="0"/>
              <w:rPr>
                <w:rFonts w:ascii="Arial" w:hAnsi="Arial" w:cs="Arial"/>
                <w:b/>
                <w:lang w:val="en"/>
              </w:rPr>
            </w:pPr>
          </w:p>
          <w:p w14:paraId="3958A66B" w14:textId="77777777" w:rsidR="00911F80" w:rsidRPr="0090147B" w:rsidRDefault="00911F80" w:rsidP="00D57E78">
            <w:pPr>
              <w:keepNext/>
              <w:spacing w:line="252" w:lineRule="auto"/>
              <w:outlineLvl w:val="0"/>
              <w:rPr>
                <w:rFonts w:ascii="Arial" w:hAnsi="Arial" w:cs="Arial"/>
                <w:b/>
                <w:lang w:val="en"/>
              </w:rPr>
            </w:pPr>
          </w:p>
          <w:p w14:paraId="0F4F5F54" w14:textId="77777777" w:rsidR="00911F80" w:rsidRPr="0090147B" w:rsidRDefault="00911F80" w:rsidP="00D57E78">
            <w:pPr>
              <w:keepNext/>
              <w:spacing w:line="252" w:lineRule="auto"/>
              <w:outlineLvl w:val="0"/>
              <w:rPr>
                <w:rFonts w:ascii="Arial" w:hAnsi="Arial" w:cs="Arial"/>
                <w:b/>
                <w:lang w:val="en"/>
              </w:rPr>
            </w:pPr>
          </w:p>
          <w:p w14:paraId="18370E30" w14:textId="18F52313" w:rsidR="00911F80" w:rsidRPr="0090147B" w:rsidRDefault="00911F80" w:rsidP="00D57E78">
            <w:pPr>
              <w:keepNext/>
              <w:spacing w:line="252" w:lineRule="auto"/>
              <w:outlineLvl w:val="0"/>
              <w:rPr>
                <w:rFonts w:ascii="Arial" w:hAnsi="Arial" w:cs="Arial"/>
                <w:b/>
                <w:lang w:val="en"/>
              </w:rPr>
            </w:pPr>
          </w:p>
        </w:tc>
        <w:tc>
          <w:tcPr>
            <w:tcW w:w="3005" w:type="dxa"/>
          </w:tcPr>
          <w:p w14:paraId="75D9B40A" w14:textId="77777777" w:rsidR="00911F80" w:rsidRPr="0090147B" w:rsidRDefault="00911F80" w:rsidP="00D57E78">
            <w:pPr>
              <w:keepNext/>
              <w:spacing w:line="252" w:lineRule="auto"/>
              <w:outlineLvl w:val="0"/>
              <w:rPr>
                <w:rFonts w:ascii="Arial" w:eastAsia="Calibri" w:hAnsi="Arial" w:cs="Arial"/>
              </w:rPr>
            </w:pPr>
            <w:r w:rsidRPr="0090147B">
              <w:rPr>
                <w:rFonts w:ascii="Arial" w:eastAsia="Calibri" w:hAnsi="Arial" w:cs="Arial"/>
              </w:rPr>
              <w:t>4 March 2021</w:t>
            </w:r>
          </w:p>
          <w:p w14:paraId="132818AA" w14:textId="0B99C89D" w:rsidR="00911F80" w:rsidRPr="0090147B" w:rsidRDefault="00911F80" w:rsidP="00D57E78">
            <w:pPr>
              <w:keepNext/>
              <w:spacing w:line="252" w:lineRule="auto"/>
              <w:outlineLvl w:val="0"/>
              <w:rPr>
                <w:rFonts w:ascii="Arial" w:eastAsia="Calibri" w:hAnsi="Arial" w:cs="Arial"/>
              </w:rPr>
            </w:pPr>
            <w:r w:rsidRPr="0090147B">
              <w:rPr>
                <w:rFonts w:ascii="Arial" w:hAnsi="Arial" w:cs="Arial"/>
                <w:lang w:val="en"/>
              </w:rPr>
              <w:t>Deputy Leader and Cabinet Member (Health and Wellbeing)</w:t>
            </w:r>
          </w:p>
        </w:tc>
        <w:tc>
          <w:tcPr>
            <w:tcW w:w="3006" w:type="dxa"/>
          </w:tcPr>
          <w:p w14:paraId="188221A0" w14:textId="5CA6C198" w:rsidR="003F0669" w:rsidRPr="0090147B" w:rsidRDefault="003F0669" w:rsidP="003F0669">
            <w:pPr>
              <w:rPr>
                <w:rFonts w:ascii="Arial" w:hAnsi="Arial" w:cs="Arial"/>
              </w:rPr>
            </w:pPr>
            <w:r w:rsidRPr="0090147B">
              <w:rPr>
                <w:rFonts w:ascii="Arial" w:hAnsi="Arial" w:cs="Arial"/>
              </w:rPr>
              <w:t>It was impracticable to give 28 days’ notice on the Forward Plan, the reason being due to the time frame of submitting the funding bid.  It c</w:t>
            </w:r>
            <w:r w:rsidR="00533A25" w:rsidRPr="0090147B">
              <w:rPr>
                <w:rFonts w:ascii="Arial" w:hAnsi="Arial" w:cs="Arial"/>
              </w:rPr>
              <w:t>ould not</w:t>
            </w:r>
            <w:r w:rsidRPr="0090147B">
              <w:rPr>
                <w:rFonts w:ascii="Arial" w:hAnsi="Arial" w:cs="Arial"/>
              </w:rPr>
              <w:t xml:space="preserve"> wait until the next Cabinet 24 March and therefore need</w:t>
            </w:r>
            <w:r w:rsidR="008E6407" w:rsidRPr="0090147B">
              <w:rPr>
                <w:rFonts w:ascii="Arial" w:hAnsi="Arial" w:cs="Arial"/>
              </w:rPr>
              <w:t>ed</w:t>
            </w:r>
            <w:r w:rsidRPr="0090147B">
              <w:rPr>
                <w:rFonts w:ascii="Arial" w:hAnsi="Arial" w:cs="Arial"/>
              </w:rPr>
              <w:t xml:space="preserve"> to be taken as an Executive Member Decision.</w:t>
            </w:r>
          </w:p>
          <w:p w14:paraId="0446E157" w14:textId="77777777" w:rsidR="00911F80" w:rsidRPr="0090147B" w:rsidRDefault="00911F80" w:rsidP="00D57E78">
            <w:pPr>
              <w:keepNext/>
              <w:spacing w:line="252" w:lineRule="auto"/>
              <w:outlineLvl w:val="0"/>
              <w:rPr>
                <w:rFonts w:ascii="Arial" w:hAnsi="Arial" w:cs="Arial"/>
                <w:lang w:val="en"/>
              </w:rPr>
            </w:pPr>
          </w:p>
        </w:tc>
      </w:tr>
      <w:tr w:rsidR="00890B4E" w:rsidRPr="0090147B" w14:paraId="3DB40D31" w14:textId="77777777" w:rsidTr="00890B4E">
        <w:tc>
          <w:tcPr>
            <w:tcW w:w="3005" w:type="dxa"/>
          </w:tcPr>
          <w:p w14:paraId="6D94041A" w14:textId="3666224D" w:rsidR="00890B4E" w:rsidRPr="0090147B" w:rsidRDefault="00564486" w:rsidP="00D57E78">
            <w:pPr>
              <w:keepNext/>
              <w:spacing w:line="252" w:lineRule="auto"/>
              <w:outlineLvl w:val="0"/>
              <w:rPr>
                <w:rFonts w:ascii="Arial" w:hAnsi="Arial" w:cs="Arial"/>
                <w:b/>
                <w:lang w:val="en"/>
              </w:rPr>
            </w:pPr>
            <w:r w:rsidRPr="0090147B">
              <w:rPr>
                <w:rFonts w:ascii="Arial" w:hAnsi="Arial" w:cs="Arial"/>
                <w:b/>
                <w:lang w:val="en"/>
              </w:rPr>
              <w:t>National Leisure Recovery Fund</w:t>
            </w:r>
          </w:p>
          <w:p w14:paraId="073EB02E" w14:textId="36EC9439" w:rsidR="00CD3354" w:rsidRPr="0090147B" w:rsidRDefault="00D90348" w:rsidP="00D57E78">
            <w:pPr>
              <w:keepNext/>
              <w:spacing w:line="252" w:lineRule="auto"/>
              <w:outlineLvl w:val="0"/>
              <w:rPr>
                <w:rFonts w:ascii="Arial" w:hAnsi="Arial" w:cs="Arial"/>
                <w:lang w:val="en"/>
              </w:rPr>
            </w:pPr>
            <w:r w:rsidRPr="0090147B">
              <w:rPr>
                <w:rFonts w:ascii="Arial" w:hAnsi="Arial" w:cs="Arial"/>
                <w:lang w:val="en"/>
              </w:rPr>
              <w:t>(</w:t>
            </w:r>
            <w:r w:rsidR="00CD3354" w:rsidRPr="0090147B">
              <w:rPr>
                <w:rFonts w:ascii="Arial" w:hAnsi="Arial" w:cs="Arial"/>
                <w:lang w:val="en"/>
              </w:rPr>
              <w:t>Key Decision and contains exempt information</w:t>
            </w:r>
            <w:r w:rsidRPr="0090147B">
              <w:rPr>
                <w:rFonts w:ascii="Arial" w:hAnsi="Arial" w:cs="Arial"/>
                <w:lang w:val="en"/>
              </w:rPr>
              <w:t>)</w:t>
            </w:r>
          </w:p>
          <w:p w14:paraId="58FC8A9D" w14:textId="77777777" w:rsidR="00CD3354" w:rsidRPr="0090147B" w:rsidRDefault="00CD3354" w:rsidP="00D57E78">
            <w:pPr>
              <w:keepNext/>
              <w:spacing w:line="252" w:lineRule="auto"/>
              <w:outlineLvl w:val="0"/>
              <w:rPr>
                <w:rFonts w:ascii="Arial" w:hAnsi="Arial" w:cs="Arial"/>
                <w:lang w:val="en"/>
              </w:rPr>
            </w:pPr>
          </w:p>
          <w:p w14:paraId="697A400C" w14:textId="785C8C0E" w:rsidR="00FF34E1" w:rsidRPr="0090147B" w:rsidRDefault="00564486" w:rsidP="00D57E78">
            <w:pPr>
              <w:keepNext/>
              <w:spacing w:line="252" w:lineRule="auto"/>
              <w:outlineLvl w:val="0"/>
              <w:rPr>
                <w:rFonts w:ascii="Arial" w:eastAsia="Calibri" w:hAnsi="Arial" w:cs="Arial"/>
              </w:rPr>
            </w:pPr>
            <w:r w:rsidRPr="0090147B">
              <w:rPr>
                <w:rFonts w:ascii="Arial" w:hAnsi="Arial" w:cs="Arial"/>
                <w:lang w:val="en"/>
              </w:rPr>
              <w:t xml:space="preserve">That the figure specified in the report awarded to the Council to support Leisure </w:t>
            </w:r>
            <w:proofErr w:type="spellStart"/>
            <w:r w:rsidRPr="0090147B">
              <w:rPr>
                <w:rFonts w:ascii="Arial" w:hAnsi="Arial" w:cs="Arial"/>
                <w:lang w:val="en"/>
              </w:rPr>
              <w:t>Centres</w:t>
            </w:r>
            <w:proofErr w:type="spellEnd"/>
            <w:r w:rsidRPr="0090147B">
              <w:rPr>
                <w:rFonts w:ascii="Arial" w:hAnsi="Arial" w:cs="Arial"/>
                <w:lang w:val="en"/>
              </w:rPr>
              <w:t xml:space="preserve"> between December to March 2021 is paid across to the Trust in the form of a grant agreement.</w:t>
            </w:r>
          </w:p>
          <w:p w14:paraId="0D09128D" w14:textId="7335AF53" w:rsidR="005E0C47" w:rsidRPr="0090147B" w:rsidRDefault="005E0C47" w:rsidP="00D57E78">
            <w:pPr>
              <w:keepNext/>
              <w:spacing w:line="252" w:lineRule="auto"/>
              <w:outlineLvl w:val="0"/>
              <w:rPr>
                <w:rFonts w:ascii="Arial" w:eastAsia="Calibri" w:hAnsi="Arial" w:cs="Arial"/>
              </w:rPr>
            </w:pPr>
          </w:p>
        </w:tc>
        <w:tc>
          <w:tcPr>
            <w:tcW w:w="3005" w:type="dxa"/>
          </w:tcPr>
          <w:p w14:paraId="5F6418FC" w14:textId="77777777" w:rsidR="00890B4E" w:rsidRPr="0090147B" w:rsidRDefault="00564486" w:rsidP="00D57E78">
            <w:pPr>
              <w:keepNext/>
              <w:spacing w:line="252" w:lineRule="auto"/>
              <w:outlineLvl w:val="0"/>
              <w:rPr>
                <w:rFonts w:ascii="Arial" w:eastAsia="Calibri" w:hAnsi="Arial" w:cs="Arial"/>
              </w:rPr>
            </w:pPr>
            <w:r w:rsidRPr="0090147B">
              <w:rPr>
                <w:rFonts w:ascii="Arial" w:eastAsia="Calibri" w:hAnsi="Arial" w:cs="Arial"/>
              </w:rPr>
              <w:t>5 March 2021</w:t>
            </w:r>
          </w:p>
          <w:p w14:paraId="3019715B" w14:textId="38FEBC19" w:rsidR="00564486" w:rsidRPr="0090147B" w:rsidRDefault="00564486" w:rsidP="00D57E78">
            <w:pPr>
              <w:keepNext/>
              <w:spacing w:line="252" w:lineRule="auto"/>
              <w:outlineLvl w:val="0"/>
              <w:rPr>
                <w:rFonts w:ascii="Arial" w:eastAsia="Calibri" w:hAnsi="Arial" w:cs="Arial"/>
              </w:rPr>
            </w:pPr>
            <w:r w:rsidRPr="0090147B">
              <w:rPr>
                <w:rFonts w:ascii="Arial" w:hAnsi="Arial" w:cs="Arial"/>
                <w:lang w:val="en"/>
              </w:rPr>
              <w:t>Cabinet Member (Finance, Property and Assets)</w:t>
            </w:r>
          </w:p>
        </w:tc>
        <w:tc>
          <w:tcPr>
            <w:tcW w:w="3006" w:type="dxa"/>
          </w:tcPr>
          <w:p w14:paraId="5B1E8A7F" w14:textId="254D3ED3" w:rsidR="00890B4E" w:rsidRPr="0090147B" w:rsidRDefault="00CD3354" w:rsidP="00D57E78">
            <w:pPr>
              <w:keepNext/>
              <w:spacing w:line="252" w:lineRule="auto"/>
              <w:outlineLvl w:val="0"/>
              <w:rPr>
                <w:rFonts w:ascii="Arial" w:eastAsia="Calibri" w:hAnsi="Arial" w:cs="Arial"/>
              </w:rPr>
            </w:pPr>
            <w:r w:rsidRPr="0090147B">
              <w:rPr>
                <w:rFonts w:ascii="Arial" w:hAnsi="Arial" w:cs="Arial"/>
                <w:lang w:val="en"/>
              </w:rPr>
              <w:t xml:space="preserve">It was impracticable to give 28 days’ notice of this key decision on the Forward Plan because this funding was released to urgently support the Leisure sector following the impact of </w:t>
            </w:r>
            <w:proofErr w:type="spellStart"/>
            <w:r w:rsidRPr="0090147B">
              <w:rPr>
                <w:rFonts w:ascii="Arial" w:hAnsi="Arial" w:cs="Arial"/>
                <w:lang w:val="en"/>
              </w:rPr>
              <w:t>Covid</w:t>
            </w:r>
            <w:proofErr w:type="spellEnd"/>
            <w:r w:rsidRPr="0090147B">
              <w:rPr>
                <w:rFonts w:ascii="Arial" w:hAnsi="Arial" w:cs="Arial"/>
                <w:lang w:val="en"/>
              </w:rPr>
              <w:t xml:space="preserve"> 19.  It was to support providers for the period Dec 20-March 21 and the intention </w:t>
            </w:r>
            <w:r w:rsidR="00D90348" w:rsidRPr="0090147B">
              <w:rPr>
                <w:rFonts w:ascii="Arial" w:hAnsi="Arial" w:cs="Arial"/>
                <w:lang w:val="en"/>
              </w:rPr>
              <w:t>wa</w:t>
            </w:r>
            <w:r w:rsidRPr="0090147B">
              <w:rPr>
                <w:rFonts w:ascii="Arial" w:hAnsi="Arial" w:cs="Arial"/>
                <w:lang w:val="en"/>
              </w:rPr>
              <w:t>s for the funding to be paid over as soon as possible</w:t>
            </w:r>
          </w:p>
        </w:tc>
      </w:tr>
    </w:tbl>
    <w:p w14:paraId="77EBEFFE" w14:textId="5A1F2829" w:rsidR="00D57E78" w:rsidRPr="0090147B" w:rsidRDefault="00D57E78" w:rsidP="00D57E78">
      <w:pPr>
        <w:keepNext/>
        <w:spacing w:line="252" w:lineRule="auto"/>
        <w:outlineLvl w:val="0"/>
        <w:rPr>
          <w:rFonts w:ascii="Arial" w:eastAsia="Calibri" w:hAnsi="Arial" w:cs="Arial"/>
        </w:rPr>
      </w:pPr>
    </w:p>
    <w:p w14:paraId="7CB718CE" w14:textId="77777777" w:rsidR="00E2755B" w:rsidRPr="00E2755B" w:rsidRDefault="00E2755B" w:rsidP="00E2755B">
      <w:pPr>
        <w:pStyle w:val="Heading2"/>
        <w:rPr>
          <w:rFonts w:eastAsiaTheme="majorEastAsia"/>
          <w:sz w:val="22"/>
          <w:szCs w:val="24"/>
        </w:rPr>
      </w:pPr>
      <w:r w:rsidRPr="00E2755B">
        <w:rPr>
          <w:rFonts w:eastAsiaTheme="majorEastAsia"/>
          <w:sz w:val="22"/>
          <w:szCs w:val="24"/>
        </w:rPr>
        <w:t>Recommendation(s)</w:t>
      </w:r>
    </w:p>
    <w:p w14:paraId="173F879B" w14:textId="77777777" w:rsidR="00E2755B" w:rsidRPr="00E2755B" w:rsidRDefault="00E2755B" w:rsidP="00E2755B">
      <w:pPr>
        <w:autoSpaceDE w:val="0"/>
        <w:autoSpaceDN w:val="0"/>
        <w:adjustRightInd w:val="0"/>
        <w:spacing w:after="0" w:line="240" w:lineRule="auto"/>
        <w:jc w:val="both"/>
        <w:rPr>
          <w:rFonts w:ascii="Arial" w:hAnsi="Arial" w:cs="Arial"/>
          <w:b/>
          <w:color w:val="000000"/>
        </w:rPr>
      </w:pPr>
    </w:p>
    <w:p w14:paraId="7B420704" w14:textId="77777777" w:rsidR="00E2755B" w:rsidRPr="00E2755B" w:rsidRDefault="00E2755B" w:rsidP="00E2755B">
      <w:pPr>
        <w:numPr>
          <w:ilvl w:val="0"/>
          <w:numId w:val="1"/>
        </w:numPr>
        <w:autoSpaceDE w:val="0"/>
        <w:autoSpaceDN w:val="0"/>
        <w:adjustRightInd w:val="0"/>
        <w:spacing w:after="0" w:line="240" w:lineRule="auto"/>
        <w:jc w:val="both"/>
        <w:rPr>
          <w:rFonts w:ascii="Arial" w:hAnsi="Arial" w:cs="Arial"/>
          <w:color w:val="000000"/>
        </w:rPr>
      </w:pPr>
      <w:r w:rsidRPr="00E2755B">
        <w:rPr>
          <w:rFonts w:ascii="Arial" w:hAnsi="Arial" w:cs="Arial"/>
          <w:color w:val="000000"/>
        </w:rPr>
        <w:t xml:space="preserve">That Council note the report. </w:t>
      </w:r>
    </w:p>
    <w:p w14:paraId="6B200BB0" w14:textId="77777777" w:rsidR="00E2755B" w:rsidRDefault="00E2755B" w:rsidP="004E2A53">
      <w:pPr>
        <w:keepNext/>
        <w:spacing w:line="240" w:lineRule="auto"/>
        <w:outlineLvl w:val="0"/>
        <w:rPr>
          <w:rFonts w:ascii="Arial" w:eastAsia="Calibri" w:hAnsi="Arial" w:cs="Arial"/>
        </w:rPr>
      </w:pPr>
    </w:p>
    <w:p w14:paraId="4A26F6FB" w14:textId="77777777" w:rsidR="00E2755B" w:rsidRDefault="00E2755B" w:rsidP="004E2A53">
      <w:pPr>
        <w:keepNext/>
        <w:spacing w:line="240" w:lineRule="auto"/>
        <w:outlineLvl w:val="0"/>
        <w:rPr>
          <w:rFonts w:ascii="Arial" w:eastAsia="Calibri" w:hAnsi="Arial" w:cs="Arial"/>
        </w:rPr>
      </w:pPr>
    </w:p>
    <w:p w14:paraId="448830AB" w14:textId="53DDCD9B" w:rsidR="004473E2" w:rsidRPr="00E2755B" w:rsidRDefault="00A50EF8" w:rsidP="00E2755B">
      <w:pPr>
        <w:pStyle w:val="NoSpacing"/>
        <w:rPr>
          <w:rFonts w:ascii="Arial" w:hAnsi="Arial" w:cs="Arial"/>
        </w:rPr>
      </w:pPr>
      <w:r w:rsidRPr="00E2755B">
        <w:rPr>
          <w:rFonts w:ascii="Arial" w:hAnsi="Arial" w:cs="Arial"/>
        </w:rPr>
        <w:t>Councillor Paul Foster</w:t>
      </w:r>
    </w:p>
    <w:p w14:paraId="2A3D0996" w14:textId="2B4CFB55" w:rsidR="0037581E" w:rsidRDefault="00A50EF8" w:rsidP="00E2755B">
      <w:pPr>
        <w:pStyle w:val="NoSpacing"/>
        <w:rPr>
          <w:rFonts w:ascii="Arial" w:hAnsi="Arial" w:cs="Arial"/>
        </w:rPr>
      </w:pPr>
      <w:r w:rsidRPr="00E2755B">
        <w:rPr>
          <w:rFonts w:ascii="Arial" w:hAnsi="Arial" w:cs="Arial"/>
        </w:rPr>
        <w:t>Leader of the Council</w:t>
      </w:r>
    </w:p>
    <w:p w14:paraId="4352B5D5" w14:textId="571690EE" w:rsidR="00E2755B" w:rsidRDefault="00E2755B" w:rsidP="00E2755B">
      <w:pPr>
        <w:pStyle w:val="NoSpacing"/>
        <w:rPr>
          <w:rFonts w:ascii="Arial" w:hAnsi="Arial" w:cs="Arial"/>
        </w:rPr>
      </w:pPr>
    </w:p>
    <w:p w14:paraId="17C2F186" w14:textId="2090B82F" w:rsidR="00E2755B" w:rsidRPr="00E2755B" w:rsidRDefault="00E2755B" w:rsidP="00E2755B">
      <w:pPr>
        <w:pStyle w:val="NoSpacing"/>
        <w:rPr>
          <w:rFonts w:ascii="Arial" w:hAnsi="Arial" w:cs="Arial"/>
        </w:rPr>
      </w:pPr>
      <w:r>
        <w:rPr>
          <w:rFonts w:ascii="Arial" w:hAnsi="Arial" w:cs="Arial"/>
        </w:rPr>
        <w:t xml:space="preserve">CG </w:t>
      </w:r>
    </w:p>
    <w:sectPr w:rsidR="00E2755B" w:rsidRPr="00E2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606"/>
    <w:multiLevelType w:val="hybridMultilevel"/>
    <w:tmpl w:val="65EA4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D1529"/>
    <w:multiLevelType w:val="hybridMultilevel"/>
    <w:tmpl w:val="AD5AF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3D152A"/>
    <w:multiLevelType w:val="hybridMultilevel"/>
    <w:tmpl w:val="E682AC90"/>
    <w:lvl w:ilvl="0" w:tplc="FFFFFFFF">
      <w:start w:val="2"/>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1C1481A"/>
    <w:multiLevelType w:val="hybridMultilevel"/>
    <w:tmpl w:val="59128282"/>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5" w15:restartNumberingAfterBreak="0">
    <w:nsid w:val="185B06D2"/>
    <w:multiLevelType w:val="hybridMultilevel"/>
    <w:tmpl w:val="FE26BF26"/>
    <w:lvl w:ilvl="0" w:tplc="87EE25FA">
      <w:start w:val="1"/>
      <w:numFmt w:val="decimal"/>
      <w:lvlText w:val="%1."/>
      <w:lvlJc w:val="left"/>
      <w:pPr>
        <w:tabs>
          <w:tab w:val="num" w:pos="567"/>
        </w:tabs>
        <w:ind w:left="567" w:hanging="567"/>
      </w:pPr>
      <w:rPr>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DA32E57"/>
    <w:multiLevelType w:val="hybridMultilevel"/>
    <w:tmpl w:val="0DB40A7A"/>
    <w:lvl w:ilvl="0" w:tplc="9FF4E9A6">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9DF05C6"/>
    <w:multiLevelType w:val="hybridMultilevel"/>
    <w:tmpl w:val="193EC358"/>
    <w:lvl w:ilvl="0" w:tplc="BE5A39AC">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5F0147"/>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62FBF"/>
    <w:multiLevelType w:val="hybridMultilevel"/>
    <w:tmpl w:val="06786994"/>
    <w:lvl w:ilvl="0" w:tplc="5A561596">
      <w:start w:val="1"/>
      <w:numFmt w:val="decimal"/>
      <w:lvlText w:val="%1."/>
      <w:lvlJc w:val="left"/>
      <w:pPr>
        <w:ind w:left="720" w:hanging="360"/>
      </w:pPr>
      <w:rPr>
        <w:b/>
        <w:bCs/>
      </w:rPr>
    </w:lvl>
    <w:lvl w:ilvl="1" w:tplc="9FE22B10">
      <w:start w:val="1"/>
      <w:numFmt w:val="lowerLetter"/>
      <w:lvlText w:val="%2."/>
      <w:lvlJc w:val="left"/>
      <w:pPr>
        <w:ind w:left="1440" w:hanging="360"/>
      </w:pPr>
    </w:lvl>
    <w:lvl w:ilvl="2" w:tplc="89B8E4BA">
      <w:start w:val="1"/>
      <w:numFmt w:val="lowerRoman"/>
      <w:lvlText w:val="%3."/>
      <w:lvlJc w:val="right"/>
      <w:pPr>
        <w:ind w:left="2160" w:hanging="180"/>
      </w:pPr>
    </w:lvl>
    <w:lvl w:ilvl="3" w:tplc="73701504">
      <w:start w:val="1"/>
      <w:numFmt w:val="decimal"/>
      <w:lvlText w:val="%4."/>
      <w:lvlJc w:val="left"/>
      <w:pPr>
        <w:ind w:left="2880" w:hanging="360"/>
      </w:pPr>
    </w:lvl>
    <w:lvl w:ilvl="4" w:tplc="A0D8EAE2">
      <w:start w:val="1"/>
      <w:numFmt w:val="lowerLetter"/>
      <w:lvlText w:val="%5."/>
      <w:lvlJc w:val="left"/>
      <w:pPr>
        <w:ind w:left="3600" w:hanging="360"/>
      </w:pPr>
    </w:lvl>
    <w:lvl w:ilvl="5" w:tplc="6D94388A">
      <w:start w:val="1"/>
      <w:numFmt w:val="lowerRoman"/>
      <w:lvlText w:val="%6."/>
      <w:lvlJc w:val="right"/>
      <w:pPr>
        <w:ind w:left="4320" w:hanging="180"/>
      </w:pPr>
    </w:lvl>
    <w:lvl w:ilvl="6" w:tplc="6B52CA64">
      <w:start w:val="1"/>
      <w:numFmt w:val="decimal"/>
      <w:lvlText w:val="%7."/>
      <w:lvlJc w:val="left"/>
      <w:pPr>
        <w:ind w:left="5040" w:hanging="360"/>
      </w:pPr>
    </w:lvl>
    <w:lvl w:ilvl="7" w:tplc="F3FE01CA">
      <w:start w:val="1"/>
      <w:numFmt w:val="lowerLetter"/>
      <w:lvlText w:val="%8."/>
      <w:lvlJc w:val="left"/>
      <w:pPr>
        <w:ind w:left="5760" w:hanging="360"/>
      </w:pPr>
    </w:lvl>
    <w:lvl w:ilvl="8" w:tplc="24C4C374">
      <w:start w:val="1"/>
      <w:numFmt w:val="lowerRoman"/>
      <w:lvlText w:val="%9."/>
      <w:lvlJc w:val="right"/>
      <w:pPr>
        <w:ind w:left="6480" w:hanging="180"/>
      </w:pPr>
    </w:lvl>
  </w:abstractNum>
  <w:abstractNum w:abstractNumId="10" w15:restartNumberingAfterBreak="0">
    <w:nsid w:val="40F65F61"/>
    <w:multiLevelType w:val="hybridMultilevel"/>
    <w:tmpl w:val="BF969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14C4844"/>
    <w:multiLevelType w:val="hybridMultilevel"/>
    <w:tmpl w:val="B8CCD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4D1201"/>
    <w:multiLevelType w:val="hybridMultilevel"/>
    <w:tmpl w:val="D91C8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C43B7"/>
    <w:multiLevelType w:val="hybridMultilevel"/>
    <w:tmpl w:val="7B9A67D8"/>
    <w:lvl w:ilvl="0" w:tplc="3D8EFF20">
      <w:start w:val="1"/>
      <w:numFmt w:val="decimal"/>
      <w:lvlText w:val="%1)"/>
      <w:lvlJc w:val="left"/>
      <w:pPr>
        <w:ind w:left="643" w:hanging="360"/>
      </w:pPr>
      <w:rPr>
        <w:rFonts w:ascii="Arial" w:eastAsia="Calibri" w:hAnsi="Arial" w:cs="Arial"/>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0756758"/>
    <w:multiLevelType w:val="hybridMultilevel"/>
    <w:tmpl w:val="6372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3401070"/>
    <w:multiLevelType w:val="hybridMultilevel"/>
    <w:tmpl w:val="C686A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40B61AD"/>
    <w:multiLevelType w:val="hybridMultilevel"/>
    <w:tmpl w:val="6A441A92"/>
    <w:lvl w:ilvl="0" w:tplc="934A2A76">
      <w:start w:val="1"/>
      <w:numFmt w:val="decimal"/>
      <w:lvlText w:val="%1."/>
      <w:lvlJc w:val="left"/>
      <w:pPr>
        <w:ind w:left="644" w:hanging="360"/>
      </w:pPr>
      <w:rPr>
        <w:rFonts w:ascii="Arial" w:hAnsi="Arial" w:cs="Arial" w:hint="default"/>
        <w:b w:val="0"/>
        <w:bCs w:val="0"/>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E2AF1"/>
    <w:multiLevelType w:val="hybridMultilevel"/>
    <w:tmpl w:val="9C3AF254"/>
    <w:lvl w:ilvl="0" w:tplc="C01CAB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8F11C6"/>
    <w:multiLevelType w:val="hybridMultilevel"/>
    <w:tmpl w:val="36A267EA"/>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F00E5"/>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AD2767"/>
    <w:multiLevelType w:val="hybridMultilevel"/>
    <w:tmpl w:val="3F9A413E"/>
    <w:lvl w:ilvl="0" w:tplc="98100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55D55"/>
    <w:multiLevelType w:val="hybridMultilevel"/>
    <w:tmpl w:val="5790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8E2B8A"/>
    <w:multiLevelType w:val="hybridMultilevel"/>
    <w:tmpl w:val="6FC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52CC4"/>
    <w:multiLevelType w:val="hybridMultilevel"/>
    <w:tmpl w:val="CEB20634"/>
    <w:lvl w:ilvl="0" w:tplc="4D4C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364BD"/>
    <w:multiLevelType w:val="hybridMultilevel"/>
    <w:tmpl w:val="01C2AA7C"/>
    <w:lvl w:ilvl="0" w:tplc="C0E0C2DC">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BA411A"/>
    <w:multiLevelType w:val="hybridMultilevel"/>
    <w:tmpl w:val="D186B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BBB37E3"/>
    <w:multiLevelType w:val="hybridMultilevel"/>
    <w:tmpl w:val="1DEE74FA"/>
    <w:lvl w:ilvl="0" w:tplc="25A44668">
      <w:start w:val="1"/>
      <w:numFmt w:val="decimal"/>
      <w:lvlText w:val="%1)"/>
      <w:lvlJc w:val="left"/>
      <w:pPr>
        <w:ind w:left="720" w:hanging="360"/>
      </w:pPr>
      <w:rPr>
        <w:rFonts w:ascii="Arial" w:eastAsia="Calibri" w:hAnsi="Arial" w:cs="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6A5BDB"/>
    <w:multiLevelType w:val="hybridMultilevel"/>
    <w:tmpl w:val="E96699EC"/>
    <w:lvl w:ilvl="0" w:tplc="84181200">
      <w:start w:val="1"/>
      <w:numFmt w:val="decimal"/>
      <w:lvlText w:val="%1."/>
      <w:lvlJc w:val="left"/>
      <w:pPr>
        <w:ind w:left="786"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4A10EAE"/>
    <w:multiLevelType w:val="hybridMultilevel"/>
    <w:tmpl w:val="DC6A671A"/>
    <w:lvl w:ilvl="0" w:tplc="2ED2A044">
      <w:start w:val="1"/>
      <w:numFmt w:val="decimal"/>
      <w:lvlText w:val="%1."/>
      <w:lvlJc w:val="left"/>
      <w:pPr>
        <w:ind w:left="1152" w:hanging="360"/>
      </w:pPr>
      <w:rPr>
        <w:rFonts w:ascii="Arial" w:eastAsiaTheme="minorHAnsi" w:hAnsi="Arial" w:cs="Arial" w:hint="default"/>
        <w:color w:val="auto"/>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7A992409"/>
    <w:multiLevelType w:val="hybridMultilevel"/>
    <w:tmpl w:val="AA5C2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A99240A"/>
    <w:multiLevelType w:val="hybridMultilevel"/>
    <w:tmpl w:val="83107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A99240B"/>
    <w:multiLevelType w:val="hybridMultilevel"/>
    <w:tmpl w:val="7706B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A99240C"/>
    <w:multiLevelType w:val="hybridMultilevel"/>
    <w:tmpl w:val="DFE4A8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E9457D1"/>
    <w:multiLevelType w:val="hybridMultilevel"/>
    <w:tmpl w:val="9DAAFFC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3"/>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90940"/>
    <w:rsid w:val="000D2E0A"/>
    <w:rsid w:val="000D77CC"/>
    <w:rsid w:val="000E13D5"/>
    <w:rsid w:val="000E74BB"/>
    <w:rsid w:val="00124C30"/>
    <w:rsid w:val="001547C1"/>
    <w:rsid w:val="0015774B"/>
    <w:rsid w:val="00165473"/>
    <w:rsid w:val="001B2EEC"/>
    <w:rsid w:val="001C08CD"/>
    <w:rsid w:val="001F229A"/>
    <w:rsid w:val="00221D32"/>
    <w:rsid w:val="00224AAA"/>
    <w:rsid w:val="002267A0"/>
    <w:rsid w:val="0024149D"/>
    <w:rsid w:val="002558E0"/>
    <w:rsid w:val="002953D6"/>
    <w:rsid w:val="002A0192"/>
    <w:rsid w:val="002B3E08"/>
    <w:rsid w:val="00325A9C"/>
    <w:rsid w:val="003332EA"/>
    <w:rsid w:val="00372378"/>
    <w:rsid w:val="0037581E"/>
    <w:rsid w:val="003A1FF8"/>
    <w:rsid w:val="003B0469"/>
    <w:rsid w:val="003F0669"/>
    <w:rsid w:val="004075C3"/>
    <w:rsid w:val="004110C1"/>
    <w:rsid w:val="0042449F"/>
    <w:rsid w:val="0043775C"/>
    <w:rsid w:val="004473E2"/>
    <w:rsid w:val="004919DC"/>
    <w:rsid w:val="004C5D10"/>
    <w:rsid w:val="004D5C05"/>
    <w:rsid w:val="004E1CA1"/>
    <w:rsid w:val="004E2A53"/>
    <w:rsid w:val="004F55DE"/>
    <w:rsid w:val="0051502E"/>
    <w:rsid w:val="00525B9F"/>
    <w:rsid w:val="0053206E"/>
    <w:rsid w:val="00533A25"/>
    <w:rsid w:val="00547D1A"/>
    <w:rsid w:val="00553A63"/>
    <w:rsid w:val="00564486"/>
    <w:rsid w:val="00565DD6"/>
    <w:rsid w:val="00580D38"/>
    <w:rsid w:val="005E0C47"/>
    <w:rsid w:val="00644C50"/>
    <w:rsid w:val="00650A47"/>
    <w:rsid w:val="00684099"/>
    <w:rsid w:val="006840AE"/>
    <w:rsid w:val="006A4B97"/>
    <w:rsid w:val="006B28CE"/>
    <w:rsid w:val="006E40CA"/>
    <w:rsid w:val="007068A5"/>
    <w:rsid w:val="00736D83"/>
    <w:rsid w:val="007B558E"/>
    <w:rsid w:val="007D4DFB"/>
    <w:rsid w:val="00832717"/>
    <w:rsid w:val="00851535"/>
    <w:rsid w:val="008769DE"/>
    <w:rsid w:val="00890B4E"/>
    <w:rsid w:val="00896B69"/>
    <w:rsid w:val="008E6407"/>
    <w:rsid w:val="0090147B"/>
    <w:rsid w:val="00907954"/>
    <w:rsid w:val="00911F80"/>
    <w:rsid w:val="009847FF"/>
    <w:rsid w:val="009C0978"/>
    <w:rsid w:val="009F0ED0"/>
    <w:rsid w:val="00A015A2"/>
    <w:rsid w:val="00A066E9"/>
    <w:rsid w:val="00A50EF8"/>
    <w:rsid w:val="00A64564"/>
    <w:rsid w:val="00A647AE"/>
    <w:rsid w:val="00A715AD"/>
    <w:rsid w:val="00A90AAF"/>
    <w:rsid w:val="00AA3274"/>
    <w:rsid w:val="00AB0C3C"/>
    <w:rsid w:val="00B008BC"/>
    <w:rsid w:val="00B61C4F"/>
    <w:rsid w:val="00B76FBB"/>
    <w:rsid w:val="00B86C06"/>
    <w:rsid w:val="00BC7F7F"/>
    <w:rsid w:val="00BE468E"/>
    <w:rsid w:val="00BF009C"/>
    <w:rsid w:val="00C541D7"/>
    <w:rsid w:val="00C91911"/>
    <w:rsid w:val="00CA6376"/>
    <w:rsid w:val="00CA6BDC"/>
    <w:rsid w:val="00CB6B5B"/>
    <w:rsid w:val="00CC4960"/>
    <w:rsid w:val="00CD13F2"/>
    <w:rsid w:val="00CD3354"/>
    <w:rsid w:val="00CE6EE8"/>
    <w:rsid w:val="00CF6B62"/>
    <w:rsid w:val="00D061D5"/>
    <w:rsid w:val="00D404C3"/>
    <w:rsid w:val="00D57E78"/>
    <w:rsid w:val="00D90348"/>
    <w:rsid w:val="00DB1978"/>
    <w:rsid w:val="00DB5BCA"/>
    <w:rsid w:val="00DD4E06"/>
    <w:rsid w:val="00DE7562"/>
    <w:rsid w:val="00E2755B"/>
    <w:rsid w:val="00E33C5B"/>
    <w:rsid w:val="00E47F21"/>
    <w:rsid w:val="00E621B9"/>
    <w:rsid w:val="00E63A81"/>
    <w:rsid w:val="00E728C9"/>
    <w:rsid w:val="00E94C86"/>
    <w:rsid w:val="00EA2886"/>
    <w:rsid w:val="00EF09C7"/>
    <w:rsid w:val="00F22635"/>
    <w:rsid w:val="00F76816"/>
    <w:rsid w:val="00F928EA"/>
    <w:rsid w:val="00FF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5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5A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27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39</cp:revision>
  <dcterms:created xsi:type="dcterms:W3CDTF">2021-04-09T08:45:00Z</dcterms:created>
  <dcterms:modified xsi:type="dcterms:W3CDTF">2021-04-19T09:55:00Z</dcterms:modified>
</cp:coreProperties>
</file>