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2552"/>
        <w:gridCol w:w="283"/>
        <w:gridCol w:w="1843"/>
      </w:tblGrid>
      <w:tr w:rsidR="001751BF" w:rsidRPr="00D4431F" w14:paraId="4470DE5D" w14:textId="5BA86B9E" w:rsidTr="001751BF">
        <w:trPr>
          <w:gridAfter w:val="1"/>
          <w:wAfter w:w="1843" w:type="dxa"/>
          <w:cantSplit/>
          <w:trHeight w:val="569"/>
        </w:trPr>
        <w:tc>
          <w:tcPr>
            <w:tcW w:w="5240" w:type="dxa"/>
            <w:shd w:val="clear" w:color="auto" w:fill="BFBFBF"/>
            <w:vAlign w:val="center"/>
          </w:tcPr>
          <w:p w14:paraId="50F9F92D" w14:textId="63D8E392" w:rsidR="001751BF" w:rsidRPr="00D4431F" w:rsidRDefault="001751BF" w:rsidP="006149F1">
            <w:pPr>
              <w:spacing w:line="240" w:lineRule="auto"/>
              <w:jc w:val="center"/>
              <w:rPr>
                <w:rFonts w:cstheme="minorHAnsi"/>
                <w:b/>
                <w:bCs/>
              </w:rPr>
            </w:pPr>
            <w:r w:rsidRPr="00D4431F">
              <w:rPr>
                <w:rFonts w:cstheme="minorHAnsi"/>
                <w:b/>
                <w:bCs/>
              </w:rPr>
              <w:t>REPORT TO</w:t>
            </w:r>
          </w:p>
        </w:tc>
        <w:tc>
          <w:tcPr>
            <w:tcW w:w="2552" w:type="dxa"/>
            <w:shd w:val="clear" w:color="auto" w:fill="BFBFBF"/>
            <w:vAlign w:val="center"/>
          </w:tcPr>
          <w:p w14:paraId="20D91E6C" w14:textId="77777777" w:rsidR="001751BF" w:rsidRPr="00D4431F" w:rsidRDefault="001751BF" w:rsidP="006149F1">
            <w:pPr>
              <w:spacing w:line="240" w:lineRule="auto"/>
              <w:jc w:val="center"/>
              <w:rPr>
                <w:rFonts w:cstheme="minorHAnsi"/>
                <w:b/>
                <w:bCs/>
              </w:rPr>
            </w:pPr>
            <w:r w:rsidRPr="00D4431F">
              <w:rPr>
                <w:rFonts w:cstheme="minorHAnsi"/>
                <w:b/>
                <w:bCs/>
              </w:rPr>
              <w:t>ON</w:t>
            </w:r>
          </w:p>
        </w:tc>
        <w:tc>
          <w:tcPr>
            <w:tcW w:w="283" w:type="dxa"/>
            <w:shd w:val="clear" w:color="auto" w:fill="BFBFBF"/>
          </w:tcPr>
          <w:p w14:paraId="673568A2" w14:textId="77777777" w:rsidR="001751BF" w:rsidRPr="00D4431F" w:rsidRDefault="001751BF" w:rsidP="006149F1">
            <w:pPr>
              <w:spacing w:line="240" w:lineRule="auto"/>
              <w:jc w:val="center"/>
              <w:rPr>
                <w:rFonts w:cstheme="minorHAnsi"/>
                <w:b/>
                <w:bCs/>
              </w:rPr>
            </w:pPr>
          </w:p>
        </w:tc>
      </w:tr>
      <w:tr w:rsidR="001751BF" w:rsidRPr="00D4431F" w14:paraId="7857E1C0" w14:textId="06FBFFB3" w:rsidTr="001751BF">
        <w:trPr>
          <w:gridAfter w:val="1"/>
          <w:wAfter w:w="1843" w:type="dxa"/>
          <w:cantSplit/>
          <w:trHeight w:val="654"/>
        </w:trPr>
        <w:tc>
          <w:tcPr>
            <w:tcW w:w="5240" w:type="dxa"/>
            <w:tcBorders>
              <w:bottom w:val="nil"/>
            </w:tcBorders>
            <w:vAlign w:val="center"/>
          </w:tcPr>
          <w:p w14:paraId="390F7A6A" w14:textId="2B1088CA" w:rsidR="001751BF" w:rsidRPr="00D4431F" w:rsidRDefault="001751BF" w:rsidP="006149F1">
            <w:pPr>
              <w:spacing w:line="240" w:lineRule="auto"/>
              <w:jc w:val="center"/>
              <w:rPr>
                <w:rFonts w:cstheme="minorHAnsi"/>
                <w:b/>
                <w:bCs/>
              </w:rPr>
            </w:pPr>
            <w:r>
              <w:rPr>
                <w:rFonts w:cstheme="minorHAnsi"/>
                <w:b/>
                <w:bCs/>
              </w:rPr>
              <w:t>Cabinet</w:t>
            </w:r>
          </w:p>
        </w:tc>
        <w:tc>
          <w:tcPr>
            <w:tcW w:w="2552" w:type="dxa"/>
            <w:tcBorders>
              <w:bottom w:val="nil"/>
            </w:tcBorders>
            <w:vAlign w:val="center"/>
          </w:tcPr>
          <w:p w14:paraId="21D80C2D" w14:textId="7F9FA1CD" w:rsidR="001751BF" w:rsidRPr="00D4431F" w:rsidRDefault="001751BF" w:rsidP="006149F1">
            <w:pPr>
              <w:spacing w:line="240" w:lineRule="auto"/>
              <w:jc w:val="center"/>
              <w:rPr>
                <w:rFonts w:cstheme="minorHAnsi"/>
                <w:b/>
                <w:bCs/>
              </w:rPr>
            </w:pPr>
            <w:r>
              <w:rPr>
                <w:rFonts w:cstheme="minorHAnsi"/>
                <w:b/>
                <w:bCs/>
              </w:rPr>
              <w:t>10 February 2021</w:t>
            </w:r>
          </w:p>
        </w:tc>
        <w:tc>
          <w:tcPr>
            <w:tcW w:w="283" w:type="dxa"/>
            <w:tcBorders>
              <w:bottom w:val="nil"/>
            </w:tcBorders>
          </w:tcPr>
          <w:p w14:paraId="0C8D1846" w14:textId="77777777" w:rsidR="001751BF" w:rsidRDefault="001751BF" w:rsidP="006149F1">
            <w:pPr>
              <w:spacing w:line="240" w:lineRule="auto"/>
              <w:jc w:val="center"/>
              <w:rPr>
                <w:rFonts w:cstheme="minorHAnsi"/>
                <w:b/>
                <w:bCs/>
              </w:rPr>
            </w:pPr>
          </w:p>
        </w:tc>
      </w:tr>
      <w:tr w:rsidR="001751BF" w:rsidRPr="00D4431F" w14:paraId="6A50F575" w14:textId="1BE8E948" w:rsidTr="001751BF">
        <w:trPr>
          <w:gridAfter w:val="1"/>
          <w:wAfter w:w="1843" w:type="dxa"/>
          <w:cantSplit/>
          <w:trHeight w:val="560"/>
        </w:trPr>
        <w:tc>
          <w:tcPr>
            <w:tcW w:w="7792" w:type="dxa"/>
            <w:gridSpan w:val="2"/>
            <w:tcBorders>
              <w:left w:val="nil"/>
              <w:right w:val="nil"/>
            </w:tcBorders>
          </w:tcPr>
          <w:p w14:paraId="5E7C86EC" w14:textId="77777777" w:rsidR="001751BF" w:rsidRPr="00D4431F" w:rsidRDefault="001751BF" w:rsidP="00D4431F">
            <w:pPr>
              <w:spacing w:line="240" w:lineRule="auto"/>
              <w:jc w:val="both"/>
              <w:rPr>
                <w:rFonts w:cstheme="minorHAnsi"/>
                <w:b/>
                <w:bCs/>
              </w:rPr>
            </w:pPr>
          </w:p>
        </w:tc>
        <w:tc>
          <w:tcPr>
            <w:tcW w:w="283" w:type="dxa"/>
            <w:tcBorders>
              <w:left w:val="nil"/>
              <w:right w:val="nil"/>
            </w:tcBorders>
          </w:tcPr>
          <w:p w14:paraId="514A3D4E" w14:textId="77777777" w:rsidR="001751BF" w:rsidRPr="00D4431F" w:rsidRDefault="001751BF" w:rsidP="00D4431F">
            <w:pPr>
              <w:spacing w:line="240" w:lineRule="auto"/>
              <w:jc w:val="both"/>
              <w:rPr>
                <w:rFonts w:cstheme="minorHAnsi"/>
                <w:b/>
                <w:bCs/>
              </w:rPr>
            </w:pPr>
          </w:p>
        </w:tc>
      </w:tr>
      <w:tr w:rsidR="001751BF" w:rsidRPr="00D4431F" w14:paraId="7477FA74" w14:textId="281EC47C" w:rsidTr="001751BF">
        <w:trPr>
          <w:cantSplit/>
        </w:trPr>
        <w:tc>
          <w:tcPr>
            <w:tcW w:w="5240" w:type="dxa"/>
            <w:shd w:val="clear" w:color="auto" w:fill="BFBFBF"/>
            <w:vAlign w:val="center"/>
          </w:tcPr>
          <w:p w14:paraId="3EE56EA8" w14:textId="77777777" w:rsidR="001751BF" w:rsidRPr="00D4431F" w:rsidRDefault="001751BF" w:rsidP="00D4431F">
            <w:pPr>
              <w:spacing w:line="240" w:lineRule="auto"/>
              <w:jc w:val="both"/>
              <w:rPr>
                <w:rFonts w:cstheme="minorHAnsi"/>
                <w:b/>
                <w:bCs/>
              </w:rPr>
            </w:pPr>
            <w:r w:rsidRPr="00D4431F">
              <w:rPr>
                <w:rFonts w:cstheme="minorHAnsi"/>
                <w:b/>
                <w:bCs/>
              </w:rPr>
              <w:t>TITLE</w:t>
            </w:r>
          </w:p>
        </w:tc>
        <w:tc>
          <w:tcPr>
            <w:tcW w:w="2552" w:type="dxa"/>
            <w:shd w:val="clear" w:color="auto" w:fill="BFBFBF"/>
            <w:vAlign w:val="center"/>
          </w:tcPr>
          <w:p w14:paraId="02D3051E" w14:textId="4C7F04A4" w:rsidR="001751BF" w:rsidRPr="00D4431F" w:rsidRDefault="001751BF" w:rsidP="00D4431F">
            <w:pPr>
              <w:spacing w:line="240" w:lineRule="auto"/>
              <w:jc w:val="both"/>
              <w:rPr>
                <w:rFonts w:cstheme="minorHAnsi"/>
                <w:b/>
                <w:bCs/>
              </w:rPr>
            </w:pPr>
            <w:r>
              <w:rPr>
                <w:rFonts w:cstheme="minorHAnsi"/>
                <w:b/>
                <w:bCs/>
              </w:rPr>
              <w:t>PORTFOLO HOLDER</w:t>
            </w:r>
          </w:p>
        </w:tc>
        <w:tc>
          <w:tcPr>
            <w:tcW w:w="2126" w:type="dxa"/>
            <w:gridSpan w:val="2"/>
            <w:shd w:val="clear" w:color="auto" w:fill="BFBFBF"/>
          </w:tcPr>
          <w:p w14:paraId="3F649925" w14:textId="1771E907" w:rsidR="001751BF" w:rsidRPr="00D4431F" w:rsidRDefault="001751BF" w:rsidP="00D4431F">
            <w:pPr>
              <w:spacing w:line="240" w:lineRule="auto"/>
              <w:jc w:val="both"/>
              <w:rPr>
                <w:rFonts w:cstheme="minorHAnsi"/>
                <w:b/>
                <w:bCs/>
              </w:rPr>
            </w:pPr>
            <w:r>
              <w:rPr>
                <w:rFonts w:cstheme="minorHAnsi"/>
                <w:b/>
                <w:bCs/>
              </w:rPr>
              <w:t>REPORT OF</w:t>
            </w:r>
          </w:p>
        </w:tc>
      </w:tr>
      <w:tr w:rsidR="001751BF" w:rsidRPr="00D4431F" w14:paraId="22417CA5" w14:textId="115400F4" w:rsidTr="001751BF">
        <w:trPr>
          <w:cantSplit/>
          <w:trHeight w:val="667"/>
        </w:trPr>
        <w:tc>
          <w:tcPr>
            <w:tcW w:w="5240" w:type="dxa"/>
            <w:vAlign w:val="center"/>
          </w:tcPr>
          <w:p w14:paraId="39D03AF1" w14:textId="015377FE" w:rsidR="001751BF" w:rsidRPr="00313FC0" w:rsidRDefault="001751BF" w:rsidP="00CA04F3">
            <w:pPr>
              <w:pStyle w:val="Heading1"/>
              <w:rPr>
                <w:rFonts w:asciiTheme="majorHAnsi" w:hAnsiTheme="majorHAnsi" w:cstheme="majorHAnsi"/>
                <w:bCs w:val="0"/>
                <w:sz w:val="24"/>
                <w:szCs w:val="24"/>
              </w:rPr>
            </w:pPr>
            <w:r w:rsidRPr="00313FC0">
              <w:rPr>
                <w:rFonts w:asciiTheme="majorHAnsi" w:hAnsiTheme="majorHAnsi" w:cstheme="majorHAnsi"/>
                <w:bCs w:val="0"/>
                <w:sz w:val="24"/>
                <w:szCs w:val="24"/>
              </w:rPr>
              <w:t>McKenzie Arms Development Procurement Strategy Update</w:t>
            </w:r>
          </w:p>
        </w:tc>
        <w:tc>
          <w:tcPr>
            <w:tcW w:w="2552" w:type="dxa"/>
            <w:vAlign w:val="center"/>
          </w:tcPr>
          <w:p w14:paraId="0471F144" w14:textId="1CA0B8CE" w:rsidR="001751BF" w:rsidRPr="00D4431F" w:rsidRDefault="001751BF" w:rsidP="00D4431F">
            <w:pPr>
              <w:spacing w:line="240" w:lineRule="auto"/>
              <w:jc w:val="both"/>
              <w:rPr>
                <w:rFonts w:cstheme="minorHAnsi"/>
                <w:b/>
                <w:bCs/>
              </w:rPr>
            </w:pPr>
            <w:r>
              <w:rPr>
                <w:rFonts w:cstheme="minorHAnsi"/>
                <w:b/>
                <w:bCs/>
              </w:rPr>
              <w:t>Cabinet Member (Finance, Property and Assets)</w:t>
            </w:r>
          </w:p>
        </w:tc>
        <w:tc>
          <w:tcPr>
            <w:tcW w:w="2126" w:type="dxa"/>
            <w:gridSpan w:val="2"/>
          </w:tcPr>
          <w:p w14:paraId="5EB54251" w14:textId="0844E7B2" w:rsidR="001751BF" w:rsidRDefault="001751BF" w:rsidP="00D4431F">
            <w:pPr>
              <w:spacing w:line="240" w:lineRule="auto"/>
              <w:jc w:val="both"/>
              <w:rPr>
                <w:b/>
              </w:rPr>
            </w:pPr>
            <w:r>
              <w:rPr>
                <w:b/>
              </w:rPr>
              <w:t>Director of Commercial</w:t>
            </w:r>
          </w:p>
        </w:tc>
      </w:tr>
    </w:tbl>
    <w:p w14:paraId="4B2CA943" w14:textId="77777777" w:rsidR="00D4431F" w:rsidRPr="00D4431F" w:rsidRDefault="00D4431F"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D4431F" w:rsidRPr="00D4431F" w14:paraId="0611D574" w14:textId="77777777" w:rsidTr="008E66FA">
        <w:tc>
          <w:tcPr>
            <w:tcW w:w="6652" w:type="dxa"/>
            <w:shd w:val="clear" w:color="auto" w:fill="auto"/>
          </w:tcPr>
          <w:p w14:paraId="6F2BEEB5" w14:textId="77777777" w:rsidR="00D4431F" w:rsidRPr="00D4431F" w:rsidRDefault="00D4431F"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2C9CE149" w14:textId="50317E17" w:rsidR="00D4431F" w:rsidRPr="00D4431F" w:rsidRDefault="00313FC0" w:rsidP="000B5666">
            <w:pPr>
              <w:spacing w:after="0" w:line="240" w:lineRule="auto"/>
              <w:rPr>
                <w:rFonts w:cstheme="minorHAnsi"/>
                <w:bCs/>
              </w:rPr>
            </w:pPr>
            <w:r>
              <w:rPr>
                <w:rFonts w:cstheme="minorHAnsi"/>
                <w:bCs/>
              </w:rPr>
              <w:t>No</w:t>
            </w:r>
          </w:p>
          <w:p w14:paraId="118A6A04" w14:textId="1C04D70C" w:rsidR="00D4431F" w:rsidRPr="00313FC0" w:rsidRDefault="00D4431F" w:rsidP="005C459D">
            <w:pPr>
              <w:spacing w:after="0" w:line="240" w:lineRule="auto"/>
              <w:jc w:val="both"/>
              <w:rPr>
                <w:rFonts w:cstheme="minorHAnsi"/>
                <w:bCs/>
              </w:rPr>
            </w:pPr>
          </w:p>
        </w:tc>
      </w:tr>
    </w:tbl>
    <w:p w14:paraId="753666E1" w14:textId="77777777" w:rsidR="00D4431F" w:rsidRPr="00D4431F" w:rsidRDefault="00D4431F" w:rsidP="00D4431F">
      <w:pPr>
        <w:spacing w:line="240" w:lineRule="auto"/>
        <w:jc w:val="both"/>
        <w:rPr>
          <w:rFonts w:cstheme="minorHAnsi"/>
          <w:b/>
          <w:bCs/>
        </w:rPr>
      </w:pPr>
    </w:p>
    <w:p w14:paraId="1C45F611" w14:textId="65CE5358" w:rsidR="00D4431F" w:rsidRPr="00CA04F3" w:rsidRDefault="006149F1"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4E013486" w14:textId="3786E2EA" w:rsidR="00313FC0" w:rsidRDefault="00D4431F" w:rsidP="00313FC0">
      <w:pPr>
        <w:pStyle w:val="ListParagraph"/>
        <w:keepNext/>
        <w:numPr>
          <w:ilvl w:val="0"/>
          <w:numId w:val="9"/>
        </w:numPr>
        <w:tabs>
          <w:tab w:val="left" w:pos="567"/>
        </w:tabs>
        <w:spacing w:line="256" w:lineRule="auto"/>
        <w:outlineLvl w:val="0"/>
        <w:rPr>
          <w:rFonts w:cs="Arial"/>
          <w:iCs/>
        </w:rPr>
      </w:pPr>
      <w:r w:rsidRPr="00D4431F">
        <w:rPr>
          <w:rFonts w:cstheme="minorHAnsi"/>
          <w:bCs/>
          <w:i/>
        </w:rPr>
        <w:t xml:space="preserve"> </w:t>
      </w:r>
      <w:r w:rsidR="00313FC0">
        <w:rPr>
          <w:rFonts w:cstheme="minorHAnsi"/>
          <w:bCs/>
          <w:i/>
        </w:rPr>
        <w:t xml:space="preserve"> </w:t>
      </w:r>
      <w:r w:rsidR="00313FC0">
        <w:rPr>
          <w:rFonts w:cs="Arial"/>
          <w:iCs/>
        </w:rPr>
        <w:t xml:space="preserve">To update the proposed procurement strategy for appointment of a Contractor to deliver the McKenzie Arms development. </w:t>
      </w:r>
    </w:p>
    <w:p w14:paraId="6EE35DBC" w14:textId="4407E26F" w:rsidR="006149F1" w:rsidRPr="00CA04F3" w:rsidRDefault="006149F1"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14:paraId="23CBC6F1" w14:textId="34D41F29" w:rsidR="00313FC0" w:rsidRDefault="00313FC0" w:rsidP="00313FC0">
      <w:pPr>
        <w:pStyle w:val="ListParagraph"/>
        <w:keepNext/>
        <w:numPr>
          <w:ilvl w:val="0"/>
          <w:numId w:val="8"/>
        </w:numPr>
        <w:tabs>
          <w:tab w:val="left" w:pos="567"/>
        </w:tabs>
        <w:spacing w:line="256" w:lineRule="auto"/>
        <w:outlineLvl w:val="0"/>
        <w:rPr>
          <w:rFonts w:cs="Arial"/>
          <w:b/>
          <w:iCs/>
        </w:rPr>
      </w:pPr>
      <w:r>
        <w:rPr>
          <w:rFonts w:cs="Arial"/>
          <w:iCs/>
        </w:rPr>
        <w:t xml:space="preserve">  </w:t>
      </w:r>
      <w:bookmarkStart w:id="0" w:name="_GoBack"/>
      <w:r>
        <w:rPr>
          <w:rFonts w:cs="Arial"/>
          <w:iCs/>
        </w:rPr>
        <w:t xml:space="preserve">Cabinet approves the procurement strategy to appoint a contractor through an OJEU compliant framework to ensure the appointed contractor is experienced in delivering modular, </w:t>
      </w:r>
      <w:proofErr w:type="spellStart"/>
      <w:r>
        <w:rPr>
          <w:rFonts w:cs="Arial"/>
          <w:iCs/>
        </w:rPr>
        <w:t>passivhaus</w:t>
      </w:r>
      <w:proofErr w:type="spellEnd"/>
      <w:r>
        <w:rPr>
          <w:rFonts w:cs="Arial"/>
          <w:iCs/>
        </w:rPr>
        <w:t xml:space="preserve"> developments.</w:t>
      </w:r>
    </w:p>
    <w:p w14:paraId="5B9BCBC4" w14:textId="77777777" w:rsidR="00313FC0" w:rsidRDefault="00313FC0" w:rsidP="00313FC0">
      <w:pPr>
        <w:pStyle w:val="ListParagraph"/>
        <w:keepNext/>
        <w:tabs>
          <w:tab w:val="left" w:pos="567"/>
        </w:tabs>
        <w:outlineLvl w:val="0"/>
        <w:rPr>
          <w:rFonts w:cs="Arial"/>
          <w:b/>
          <w:iCs/>
        </w:rPr>
      </w:pPr>
    </w:p>
    <w:p w14:paraId="02E5023D" w14:textId="74032975" w:rsidR="00313FC0" w:rsidRDefault="00313FC0" w:rsidP="00313FC0">
      <w:pPr>
        <w:pStyle w:val="ListParagraph"/>
        <w:keepNext/>
        <w:numPr>
          <w:ilvl w:val="0"/>
          <w:numId w:val="8"/>
        </w:numPr>
        <w:tabs>
          <w:tab w:val="left" w:pos="567"/>
        </w:tabs>
        <w:spacing w:line="256" w:lineRule="auto"/>
        <w:outlineLvl w:val="0"/>
        <w:rPr>
          <w:rFonts w:cs="Arial"/>
          <w:b/>
          <w:iCs/>
        </w:rPr>
      </w:pPr>
      <w:r>
        <w:rPr>
          <w:rFonts w:cs="Arial"/>
          <w:bCs/>
          <w:iCs/>
        </w:rPr>
        <w:t xml:space="preserve">  Cabinet to approve the delegation of Contract Award to</w:t>
      </w:r>
      <w:r w:rsidR="00EF02A8">
        <w:rPr>
          <w:rFonts w:cs="Arial"/>
          <w:bCs/>
          <w:iCs/>
        </w:rPr>
        <w:t xml:space="preserve"> the Cabinet </w:t>
      </w:r>
      <w:r>
        <w:rPr>
          <w:rFonts w:cs="Arial"/>
          <w:bCs/>
          <w:iCs/>
        </w:rPr>
        <w:t xml:space="preserve">Member </w:t>
      </w:r>
      <w:r w:rsidR="00EF02A8">
        <w:rPr>
          <w:rFonts w:cs="Arial"/>
          <w:bCs/>
          <w:iCs/>
        </w:rPr>
        <w:t>(</w:t>
      </w:r>
      <w:r>
        <w:rPr>
          <w:rFonts w:cs="Arial"/>
          <w:bCs/>
          <w:iCs/>
        </w:rPr>
        <w:t>Finance, Property and Assets</w:t>
      </w:r>
      <w:r w:rsidR="00EF02A8">
        <w:rPr>
          <w:rFonts w:cs="Arial"/>
          <w:bCs/>
          <w:iCs/>
        </w:rPr>
        <w:t>).</w:t>
      </w:r>
    </w:p>
    <w:bookmarkEnd w:id="0"/>
    <w:p w14:paraId="041EA61E" w14:textId="50141D82" w:rsidR="00D4431F" w:rsidRPr="00CA04F3" w:rsidRDefault="006149F1" w:rsidP="00CA04F3">
      <w:pPr>
        <w:pStyle w:val="Heading2"/>
        <w:rPr>
          <w:rFonts w:asciiTheme="majorHAnsi" w:hAnsiTheme="majorHAnsi" w:cstheme="majorHAnsi"/>
          <w:sz w:val="22"/>
        </w:rPr>
      </w:pPr>
      <w:r w:rsidRPr="00CA04F3">
        <w:rPr>
          <w:rFonts w:asciiTheme="majorHAnsi" w:hAnsiTheme="majorHAnsi" w:cstheme="majorHAnsi"/>
          <w:sz w:val="22"/>
        </w:rPr>
        <w:t>Reasons for recommendations</w:t>
      </w:r>
    </w:p>
    <w:p w14:paraId="25554B6F" w14:textId="6AB80B42" w:rsidR="00D4431F" w:rsidRPr="00CA04F3" w:rsidRDefault="00313FC0" w:rsidP="00CA04F3">
      <w:pPr>
        <w:numPr>
          <w:ilvl w:val="0"/>
          <w:numId w:val="8"/>
        </w:numPr>
        <w:spacing w:after="0" w:line="240" w:lineRule="auto"/>
        <w:jc w:val="both"/>
        <w:rPr>
          <w:rFonts w:cstheme="minorHAnsi"/>
          <w:bCs/>
        </w:rPr>
      </w:pPr>
      <w:r>
        <w:rPr>
          <w:iCs/>
        </w:rPr>
        <w:t xml:space="preserve">To allow the progression of the development that will deliver a </w:t>
      </w:r>
      <w:proofErr w:type="spellStart"/>
      <w:r>
        <w:rPr>
          <w:iCs/>
        </w:rPr>
        <w:t>passivhaus</w:t>
      </w:r>
      <w:proofErr w:type="spellEnd"/>
      <w:r>
        <w:rPr>
          <w:iCs/>
        </w:rPr>
        <w:t xml:space="preserve"> compliant build.</w:t>
      </w:r>
    </w:p>
    <w:p w14:paraId="2053879D" w14:textId="4BA87856" w:rsidR="00D4431F" w:rsidRPr="00CA04F3" w:rsidRDefault="006149F1" w:rsidP="00CA04F3">
      <w:pPr>
        <w:pStyle w:val="Heading2"/>
        <w:rPr>
          <w:rFonts w:asciiTheme="majorHAnsi" w:hAnsiTheme="majorHAnsi" w:cstheme="majorHAnsi"/>
          <w:sz w:val="22"/>
        </w:rPr>
      </w:pPr>
      <w:r w:rsidRPr="00CA04F3">
        <w:rPr>
          <w:rFonts w:asciiTheme="majorHAnsi" w:hAnsiTheme="majorHAnsi" w:cstheme="majorHAnsi"/>
          <w:sz w:val="22"/>
        </w:rPr>
        <w:t>Other options considered and rejected</w:t>
      </w:r>
    </w:p>
    <w:p w14:paraId="3EA82806" w14:textId="6AF58BB2" w:rsidR="00313FC0" w:rsidRDefault="00313FC0" w:rsidP="00313FC0">
      <w:pPr>
        <w:pStyle w:val="ListParagraph"/>
        <w:numPr>
          <w:ilvl w:val="0"/>
          <w:numId w:val="9"/>
        </w:numPr>
        <w:tabs>
          <w:tab w:val="left" w:pos="567"/>
        </w:tabs>
        <w:spacing w:line="256" w:lineRule="auto"/>
        <w:rPr>
          <w:i/>
        </w:rPr>
      </w:pPr>
      <w:r>
        <w:rPr>
          <w:iCs/>
        </w:rPr>
        <w:t xml:space="preserve">  The Council could tender the works via an open procurement route, however due to the specialised nature of delivering </w:t>
      </w:r>
      <w:proofErr w:type="spellStart"/>
      <w:r>
        <w:rPr>
          <w:iCs/>
        </w:rPr>
        <w:t>passivhaus</w:t>
      </w:r>
      <w:proofErr w:type="spellEnd"/>
      <w:r>
        <w:rPr>
          <w:iCs/>
        </w:rPr>
        <w:t xml:space="preserve"> accredited housing it is advised that an OJEU compliant framework that allows appointment of Contractors who are experienced in delivering modular </w:t>
      </w:r>
      <w:proofErr w:type="spellStart"/>
      <w:r>
        <w:rPr>
          <w:iCs/>
        </w:rPr>
        <w:t>passivhaus</w:t>
      </w:r>
      <w:proofErr w:type="spellEnd"/>
      <w:r>
        <w:rPr>
          <w:iCs/>
        </w:rPr>
        <w:t xml:space="preserve"> schemes will de-risk this element of the development delivery. </w:t>
      </w:r>
    </w:p>
    <w:p w14:paraId="255EC6C7" w14:textId="6C2A749F" w:rsidR="00D4431F" w:rsidRPr="00CA04F3" w:rsidRDefault="006149F1"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14:paraId="54706D09" w14:textId="6773067A" w:rsidR="00D4431F" w:rsidRPr="006149F1" w:rsidRDefault="00D4431F" w:rsidP="00D4431F">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 </w:t>
      </w:r>
      <w:r w:rsidRPr="00D4431F">
        <w:rPr>
          <w:rFonts w:cstheme="minorHAnsi"/>
          <w:bCs/>
          <w:i/>
        </w:rPr>
        <w:t>(tick all those applicable):</w:t>
      </w:r>
    </w:p>
    <w:p w14:paraId="42CC6CEF" w14:textId="77777777" w:rsidR="006149F1" w:rsidRPr="00D4431F" w:rsidRDefault="006149F1"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D4431F" w:rsidRPr="006149F1" w14:paraId="73509E8A" w14:textId="77777777" w:rsidTr="008E66FA">
        <w:tc>
          <w:tcPr>
            <w:tcW w:w="4423" w:type="dxa"/>
            <w:shd w:val="clear" w:color="auto" w:fill="auto"/>
          </w:tcPr>
          <w:p w14:paraId="7813E701" w14:textId="77777777" w:rsidR="00D4431F" w:rsidRPr="00D4431F" w:rsidRDefault="00D4431F" w:rsidP="006149F1">
            <w:pPr>
              <w:spacing w:after="0" w:line="240" w:lineRule="auto"/>
              <w:jc w:val="both"/>
              <w:rPr>
                <w:rFonts w:cstheme="minorHAnsi"/>
                <w:bCs/>
              </w:rPr>
            </w:pPr>
            <w:r w:rsidRPr="00D4431F">
              <w:rPr>
                <w:rFonts w:cstheme="minorHAnsi"/>
                <w:bCs/>
              </w:rPr>
              <w:t>An exemplary council</w:t>
            </w:r>
          </w:p>
          <w:p w14:paraId="2E92116B" w14:textId="77777777" w:rsidR="00D4431F" w:rsidRPr="00D4431F" w:rsidRDefault="00D4431F" w:rsidP="006149F1">
            <w:pPr>
              <w:spacing w:after="0" w:line="240" w:lineRule="auto"/>
              <w:jc w:val="both"/>
              <w:rPr>
                <w:rFonts w:cstheme="minorHAnsi"/>
                <w:bCs/>
              </w:rPr>
            </w:pPr>
          </w:p>
        </w:tc>
        <w:tc>
          <w:tcPr>
            <w:tcW w:w="850" w:type="dxa"/>
            <w:shd w:val="clear" w:color="auto" w:fill="auto"/>
          </w:tcPr>
          <w:p w14:paraId="34B2F9AF" w14:textId="06604E7D" w:rsidR="00D4431F" w:rsidRPr="00D4431F" w:rsidRDefault="00313FC0" w:rsidP="006149F1">
            <w:pPr>
              <w:spacing w:after="0" w:line="240" w:lineRule="auto"/>
              <w:jc w:val="both"/>
              <w:rPr>
                <w:rFonts w:cstheme="minorHAnsi"/>
                <w:bCs/>
              </w:rPr>
            </w:pPr>
            <w:r>
              <w:sym w:font="Wingdings" w:char="F0FC"/>
            </w:r>
          </w:p>
        </w:tc>
        <w:tc>
          <w:tcPr>
            <w:tcW w:w="3402" w:type="dxa"/>
          </w:tcPr>
          <w:p w14:paraId="512170CF" w14:textId="77777777" w:rsidR="00D4431F" w:rsidRPr="00D4431F" w:rsidRDefault="00D4431F" w:rsidP="006149F1">
            <w:pPr>
              <w:spacing w:after="0" w:line="240" w:lineRule="auto"/>
              <w:jc w:val="both"/>
              <w:rPr>
                <w:rFonts w:cstheme="minorHAnsi"/>
                <w:bCs/>
              </w:rPr>
            </w:pPr>
            <w:r w:rsidRPr="00D4431F">
              <w:rPr>
                <w:rFonts w:cstheme="minorHAnsi"/>
                <w:bCs/>
              </w:rPr>
              <w:t>Thriving communities</w:t>
            </w:r>
          </w:p>
        </w:tc>
        <w:tc>
          <w:tcPr>
            <w:tcW w:w="851" w:type="dxa"/>
          </w:tcPr>
          <w:p w14:paraId="0AF1A4EC" w14:textId="705AA8DE" w:rsidR="00D4431F" w:rsidRPr="00D4431F" w:rsidRDefault="00313FC0" w:rsidP="006149F1">
            <w:pPr>
              <w:spacing w:after="0" w:line="240" w:lineRule="auto"/>
              <w:jc w:val="both"/>
              <w:rPr>
                <w:rFonts w:cstheme="minorHAnsi"/>
                <w:bCs/>
              </w:rPr>
            </w:pPr>
            <w:r>
              <w:sym w:font="Wingdings" w:char="F0FC"/>
            </w:r>
          </w:p>
        </w:tc>
      </w:tr>
      <w:tr w:rsidR="00D4431F" w:rsidRPr="006149F1" w14:paraId="1F12076B" w14:textId="77777777" w:rsidTr="008E66FA">
        <w:tc>
          <w:tcPr>
            <w:tcW w:w="4423" w:type="dxa"/>
            <w:shd w:val="clear" w:color="auto" w:fill="auto"/>
          </w:tcPr>
          <w:p w14:paraId="76DF05CC" w14:textId="77777777" w:rsidR="00D4431F" w:rsidRPr="00D4431F" w:rsidRDefault="00D4431F" w:rsidP="006149F1">
            <w:pPr>
              <w:spacing w:after="0" w:line="240" w:lineRule="auto"/>
              <w:jc w:val="both"/>
              <w:rPr>
                <w:rFonts w:cstheme="minorHAnsi"/>
                <w:bCs/>
              </w:rPr>
            </w:pPr>
            <w:r w:rsidRPr="00D4431F">
              <w:rPr>
                <w:rFonts w:cstheme="minorHAnsi"/>
                <w:bCs/>
              </w:rPr>
              <w:lastRenderedPageBreak/>
              <w:t>A fair local economy that works for everyone</w:t>
            </w:r>
          </w:p>
        </w:tc>
        <w:tc>
          <w:tcPr>
            <w:tcW w:w="850" w:type="dxa"/>
            <w:shd w:val="clear" w:color="auto" w:fill="auto"/>
          </w:tcPr>
          <w:p w14:paraId="64EE5214" w14:textId="77777777" w:rsidR="00D4431F" w:rsidRPr="00D4431F" w:rsidRDefault="00D4431F" w:rsidP="006149F1">
            <w:pPr>
              <w:spacing w:after="0" w:line="240" w:lineRule="auto"/>
              <w:jc w:val="both"/>
              <w:rPr>
                <w:rFonts w:cstheme="minorHAnsi"/>
                <w:bCs/>
              </w:rPr>
            </w:pPr>
          </w:p>
        </w:tc>
        <w:tc>
          <w:tcPr>
            <w:tcW w:w="3402" w:type="dxa"/>
          </w:tcPr>
          <w:p w14:paraId="25CFA38E" w14:textId="77777777" w:rsidR="00D4431F" w:rsidRPr="00D4431F" w:rsidRDefault="00D4431F" w:rsidP="006149F1">
            <w:pPr>
              <w:spacing w:after="0" w:line="240" w:lineRule="auto"/>
              <w:jc w:val="both"/>
              <w:rPr>
                <w:rFonts w:cstheme="minorHAnsi"/>
                <w:bCs/>
              </w:rPr>
            </w:pPr>
            <w:r w:rsidRPr="00D4431F">
              <w:rPr>
                <w:rFonts w:cstheme="minorHAnsi"/>
                <w:bCs/>
              </w:rPr>
              <w:t>Good homes, green spaces, healthy places</w:t>
            </w:r>
          </w:p>
        </w:tc>
        <w:tc>
          <w:tcPr>
            <w:tcW w:w="851" w:type="dxa"/>
          </w:tcPr>
          <w:p w14:paraId="29C253B5" w14:textId="1C0BB8E3" w:rsidR="00D4431F" w:rsidRPr="00D4431F" w:rsidRDefault="00313FC0" w:rsidP="006149F1">
            <w:pPr>
              <w:spacing w:after="0" w:line="240" w:lineRule="auto"/>
              <w:jc w:val="both"/>
              <w:rPr>
                <w:rFonts w:cstheme="minorHAnsi"/>
                <w:bCs/>
              </w:rPr>
            </w:pPr>
            <w:r>
              <w:sym w:font="Wingdings" w:char="F0FC"/>
            </w:r>
          </w:p>
        </w:tc>
      </w:tr>
    </w:tbl>
    <w:p w14:paraId="2A1D60F5" w14:textId="77777777" w:rsidR="00D4431F" w:rsidRPr="00D4431F" w:rsidRDefault="00D4431F" w:rsidP="00D4431F">
      <w:pPr>
        <w:spacing w:line="240" w:lineRule="auto"/>
        <w:jc w:val="both"/>
        <w:rPr>
          <w:rFonts w:cstheme="minorHAnsi"/>
          <w:bCs/>
        </w:rPr>
      </w:pPr>
    </w:p>
    <w:p w14:paraId="352366CF" w14:textId="3665551D" w:rsidR="00D4431F" w:rsidRPr="00CA04F3" w:rsidRDefault="006149F1" w:rsidP="00CA04F3">
      <w:pPr>
        <w:pStyle w:val="Heading2"/>
        <w:rPr>
          <w:rFonts w:asciiTheme="majorHAnsi" w:hAnsiTheme="majorHAnsi" w:cstheme="majorHAnsi"/>
          <w:sz w:val="22"/>
        </w:rPr>
      </w:pPr>
      <w:r w:rsidRPr="00CA04F3">
        <w:rPr>
          <w:rFonts w:asciiTheme="majorHAnsi" w:hAnsiTheme="majorHAnsi" w:cstheme="majorHAnsi"/>
          <w:sz w:val="22"/>
        </w:rPr>
        <w:t>Background to the report</w:t>
      </w:r>
    </w:p>
    <w:p w14:paraId="062B957A" w14:textId="77777777" w:rsidR="0010609E" w:rsidRDefault="00D4431F" w:rsidP="0010609E">
      <w:pPr>
        <w:pStyle w:val="ListParagraph"/>
        <w:numPr>
          <w:ilvl w:val="0"/>
          <w:numId w:val="8"/>
        </w:numPr>
        <w:tabs>
          <w:tab w:val="left" w:pos="567"/>
        </w:tabs>
        <w:rPr>
          <w:iCs/>
        </w:rPr>
      </w:pPr>
      <w:r w:rsidRPr="00D4431F">
        <w:rPr>
          <w:rFonts w:cstheme="minorHAnsi"/>
          <w:bCs/>
          <w:i/>
        </w:rPr>
        <w:t xml:space="preserve"> </w:t>
      </w:r>
      <w:r w:rsidR="0010609E" w:rsidRPr="00723A5C">
        <w:rPr>
          <w:iCs/>
        </w:rPr>
        <w:t xml:space="preserve">In September 2020 </w:t>
      </w:r>
      <w:r w:rsidR="0010609E">
        <w:rPr>
          <w:iCs/>
        </w:rPr>
        <w:t xml:space="preserve">a report was taken to Cabinet that confirmed a request from the Cabinet to undertake an open procurement route evaluated based on cost, quality and social value for the appointment of a Contractor to deliver the scheme. </w:t>
      </w:r>
    </w:p>
    <w:p w14:paraId="51122530" w14:textId="77777777" w:rsidR="0010609E" w:rsidRDefault="0010609E" w:rsidP="0010609E">
      <w:pPr>
        <w:pStyle w:val="ListParagraph"/>
        <w:tabs>
          <w:tab w:val="left" w:pos="567"/>
        </w:tabs>
        <w:rPr>
          <w:iCs/>
        </w:rPr>
      </w:pPr>
    </w:p>
    <w:p w14:paraId="4029814C" w14:textId="77777777" w:rsidR="0010609E" w:rsidRPr="002A3649" w:rsidRDefault="0010609E" w:rsidP="0010609E">
      <w:pPr>
        <w:pStyle w:val="ListParagraph"/>
        <w:numPr>
          <w:ilvl w:val="0"/>
          <w:numId w:val="8"/>
        </w:numPr>
        <w:spacing w:line="360" w:lineRule="auto"/>
        <w:rPr>
          <w:rFonts w:cs="Arial"/>
          <w:bCs/>
        </w:rPr>
      </w:pPr>
      <w:r>
        <w:rPr>
          <w:iCs/>
        </w:rPr>
        <w:t>The Architect who progressed the design to allow a planning application to be approved has been retained to progress the design to allow a tender package to be prepared and priced by the Contractor. To date t</w:t>
      </w:r>
      <w:r w:rsidRPr="002A3649">
        <w:rPr>
          <w:rFonts w:cs="Arial"/>
          <w:bCs/>
        </w:rPr>
        <w:t xml:space="preserve">he design has been </w:t>
      </w:r>
      <w:r>
        <w:rPr>
          <w:rFonts w:cs="Arial"/>
          <w:bCs/>
        </w:rPr>
        <w:t>progressed</w:t>
      </w:r>
      <w:r w:rsidRPr="002A3649">
        <w:rPr>
          <w:rFonts w:cs="Arial"/>
          <w:bCs/>
        </w:rPr>
        <w:t xml:space="preserve"> to RIBA Stage 3, and incorporates the following key attributes:</w:t>
      </w:r>
    </w:p>
    <w:p w14:paraId="135218CE" w14:textId="77777777" w:rsidR="0010609E" w:rsidRDefault="0010609E" w:rsidP="0010609E">
      <w:pPr>
        <w:pStyle w:val="ListParagraph"/>
        <w:numPr>
          <w:ilvl w:val="0"/>
          <w:numId w:val="10"/>
        </w:numPr>
        <w:spacing w:line="360" w:lineRule="auto"/>
        <w:rPr>
          <w:rFonts w:cstheme="minorHAnsi"/>
          <w:bCs/>
        </w:rPr>
      </w:pPr>
      <w:r>
        <w:rPr>
          <w:rFonts w:cstheme="minorHAnsi"/>
          <w:bCs/>
        </w:rPr>
        <w:t>MHCLG’s Nationally Described Space Standards and meet optional standard Part M4(2) of Building Regulations in future proofing the homes through incorporating accessible and adaptable standards</w:t>
      </w:r>
    </w:p>
    <w:p w14:paraId="4F8E424B" w14:textId="77777777" w:rsidR="0010609E" w:rsidRDefault="0010609E" w:rsidP="0010609E">
      <w:pPr>
        <w:pStyle w:val="ListParagraph"/>
        <w:numPr>
          <w:ilvl w:val="0"/>
          <w:numId w:val="10"/>
        </w:numPr>
        <w:spacing w:line="360" w:lineRule="auto"/>
        <w:rPr>
          <w:rFonts w:cstheme="minorHAnsi"/>
          <w:bCs/>
        </w:rPr>
      </w:pPr>
      <w:r>
        <w:rPr>
          <w:rFonts w:cstheme="minorHAnsi"/>
          <w:bCs/>
        </w:rPr>
        <w:t>Enhanced energy efficiency measures using air source heat pumps</w:t>
      </w:r>
    </w:p>
    <w:p w14:paraId="1F921E93" w14:textId="77777777" w:rsidR="0010609E" w:rsidRDefault="0010609E" w:rsidP="0010609E">
      <w:pPr>
        <w:pStyle w:val="ListParagraph"/>
        <w:numPr>
          <w:ilvl w:val="0"/>
          <w:numId w:val="10"/>
        </w:numPr>
        <w:spacing w:line="360" w:lineRule="auto"/>
        <w:rPr>
          <w:rFonts w:cstheme="minorHAnsi"/>
          <w:bCs/>
        </w:rPr>
      </w:pPr>
      <w:r>
        <w:rPr>
          <w:rFonts w:cstheme="minorHAnsi"/>
          <w:bCs/>
        </w:rPr>
        <w:t>Modern methods of construction, using Structured Insulated Panels (SIPs) as the main building frame which allows for reduced energy costs for future residents and reduced installation time on-site</w:t>
      </w:r>
    </w:p>
    <w:p w14:paraId="43ABB363" w14:textId="77777777" w:rsidR="0010609E" w:rsidRDefault="0010609E" w:rsidP="0010609E">
      <w:pPr>
        <w:pStyle w:val="ListParagraph"/>
        <w:numPr>
          <w:ilvl w:val="0"/>
          <w:numId w:val="10"/>
        </w:numPr>
        <w:spacing w:line="360" w:lineRule="auto"/>
        <w:rPr>
          <w:rFonts w:cstheme="minorHAnsi"/>
          <w:bCs/>
        </w:rPr>
      </w:pPr>
      <w:r>
        <w:rPr>
          <w:rFonts w:cstheme="minorHAnsi"/>
          <w:bCs/>
        </w:rPr>
        <w:t xml:space="preserve">Modelled to achieve </w:t>
      </w:r>
      <w:proofErr w:type="spellStart"/>
      <w:r>
        <w:rPr>
          <w:rFonts w:cstheme="minorHAnsi"/>
          <w:bCs/>
        </w:rPr>
        <w:t>Passivhaus</w:t>
      </w:r>
      <w:proofErr w:type="spellEnd"/>
      <w:r>
        <w:rPr>
          <w:rFonts w:cstheme="minorHAnsi"/>
          <w:bCs/>
        </w:rPr>
        <w:t xml:space="preserve"> Standard which provides a high level of comfort for occupants whilst using very little energy for heating and cooling enabling reduced energy bills</w:t>
      </w:r>
    </w:p>
    <w:p w14:paraId="2D0DA978" w14:textId="77777777" w:rsidR="0010609E" w:rsidRDefault="0010609E" w:rsidP="0010609E">
      <w:pPr>
        <w:pStyle w:val="ListParagraph"/>
        <w:numPr>
          <w:ilvl w:val="0"/>
          <w:numId w:val="10"/>
        </w:numPr>
        <w:spacing w:line="360" w:lineRule="auto"/>
        <w:rPr>
          <w:rFonts w:cstheme="minorHAnsi"/>
          <w:bCs/>
        </w:rPr>
      </w:pPr>
      <w:r>
        <w:rPr>
          <w:rFonts w:cstheme="minorHAnsi"/>
          <w:bCs/>
        </w:rPr>
        <w:t xml:space="preserve">Modelling has been undertaken using the PHPP which confirms that it is possible for each of the dwellings to reach </w:t>
      </w:r>
      <w:proofErr w:type="spellStart"/>
      <w:r>
        <w:rPr>
          <w:rFonts w:cstheme="minorHAnsi"/>
          <w:bCs/>
        </w:rPr>
        <w:t>Passivhaus</w:t>
      </w:r>
      <w:proofErr w:type="spellEnd"/>
      <w:r>
        <w:rPr>
          <w:rFonts w:cstheme="minorHAnsi"/>
          <w:bCs/>
        </w:rPr>
        <w:t xml:space="preserve"> Standard.</w:t>
      </w:r>
    </w:p>
    <w:p w14:paraId="002B2588" w14:textId="77777777" w:rsidR="0010609E" w:rsidRPr="00370A97" w:rsidRDefault="0010609E" w:rsidP="0010609E">
      <w:pPr>
        <w:pStyle w:val="ListParagraph"/>
        <w:spacing w:line="360" w:lineRule="auto"/>
        <w:rPr>
          <w:rFonts w:cstheme="minorHAnsi"/>
          <w:bCs/>
        </w:rPr>
      </w:pPr>
    </w:p>
    <w:p w14:paraId="124B8A15" w14:textId="77777777" w:rsidR="0010609E" w:rsidRDefault="0010609E" w:rsidP="0010609E">
      <w:pPr>
        <w:pStyle w:val="ListParagraph"/>
        <w:numPr>
          <w:ilvl w:val="0"/>
          <w:numId w:val="8"/>
        </w:numPr>
        <w:tabs>
          <w:tab w:val="left" w:pos="567"/>
        </w:tabs>
        <w:rPr>
          <w:iCs/>
        </w:rPr>
      </w:pPr>
      <w:r>
        <w:rPr>
          <w:iCs/>
        </w:rPr>
        <w:t xml:space="preserve">   Since the September 2020 Cabinet meeting, progress has been made to appoint some external project management and quantity surveying support to assist South Ribble to deliver the scheme. This appointment has been undertaken via a waiver to ensure the delivery programme is maintained. Appointment has been made to Gosling Construction Services (GCS) a Leyland based consultancy firm. As part of their appointment GCS were to undertake a critical review of the most appropriate procurement strategy and advise the Council on the most appropriate approach.</w:t>
      </w:r>
    </w:p>
    <w:p w14:paraId="76FCF988" w14:textId="77777777" w:rsidR="0010609E" w:rsidRPr="009F3713" w:rsidRDefault="0010609E" w:rsidP="0010609E">
      <w:pPr>
        <w:pStyle w:val="ListParagraph"/>
        <w:rPr>
          <w:iCs/>
        </w:rPr>
      </w:pPr>
    </w:p>
    <w:p w14:paraId="61FDBD90" w14:textId="77777777" w:rsidR="0010609E" w:rsidRPr="00723A5C" w:rsidRDefault="0010609E" w:rsidP="0010609E">
      <w:pPr>
        <w:pStyle w:val="ListParagraph"/>
        <w:numPr>
          <w:ilvl w:val="0"/>
          <w:numId w:val="8"/>
        </w:numPr>
        <w:tabs>
          <w:tab w:val="left" w:pos="567"/>
        </w:tabs>
        <w:rPr>
          <w:iCs/>
        </w:rPr>
      </w:pPr>
      <w:r>
        <w:rPr>
          <w:iCs/>
        </w:rPr>
        <w:t xml:space="preserve">  This report sets out this review and the recommended Contractor procurement strategy. </w:t>
      </w:r>
    </w:p>
    <w:p w14:paraId="16AF8741" w14:textId="5E5E2397" w:rsidR="006149F1" w:rsidRPr="00CA04F3" w:rsidRDefault="006149F1" w:rsidP="0010609E">
      <w:pPr>
        <w:spacing w:after="0" w:line="240" w:lineRule="auto"/>
        <w:ind w:left="720"/>
        <w:jc w:val="both"/>
        <w:rPr>
          <w:rFonts w:cstheme="minorHAnsi"/>
          <w:bCs/>
          <w:i/>
        </w:rPr>
      </w:pPr>
    </w:p>
    <w:p w14:paraId="06DBE7F4" w14:textId="7BF030C4" w:rsidR="00D4431F" w:rsidRPr="00CA04F3" w:rsidRDefault="0010609E" w:rsidP="00CA04F3">
      <w:pPr>
        <w:pStyle w:val="Heading2"/>
        <w:rPr>
          <w:rFonts w:asciiTheme="majorHAnsi" w:hAnsiTheme="majorHAnsi" w:cstheme="majorHAnsi"/>
          <w:sz w:val="22"/>
        </w:rPr>
      </w:pPr>
      <w:r>
        <w:rPr>
          <w:rFonts w:asciiTheme="majorHAnsi" w:hAnsiTheme="majorHAnsi" w:cstheme="majorHAnsi"/>
          <w:sz w:val="22"/>
        </w:rPr>
        <w:t>Procurement Strategy</w:t>
      </w:r>
    </w:p>
    <w:p w14:paraId="5DFAE8CF" w14:textId="77777777" w:rsidR="0010609E" w:rsidRDefault="0010609E" w:rsidP="0010609E">
      <w:pPr>
        <w:pStyle w:val="ListParagraph"/>
        <w:numPr>
          <w:ilvl w:val="0"/>
          <w:numId w:val="8"/>
        </w:numPr>
        <w:tabs>
          <w:tab w:val="left" w:pos="567"/>
        </w:tabs>
        <w:rPr>
          <w:rFonts w:cs="Arial"/>
          <w:iCs/>
        </w:rPr>
      </w:pPr>
      <w:r>
        <w:rPr>
          <w:rFonts w:cs="Arial"/>
          <w:iCs/>
        </w:rPr>
        <w:t>The proposed procurement strategy has given full consideration of the Councils objectives for the scheme:</w:t>
      </w:r>
    </w:p>
    <w:p w14:paraId="7DC225D6" w14:textId="77777777" w:rsidR="0010609E" w:rsidRPr="002A3649" w:rsidRDefault="0010609E" w:rsidP="0010609E">
      <w:pPr>
        <w:pStyle w:val="ListParagraph"/>
        <w:rPr>
          <w:rFonts w:cs="Arial"/>
          <w:iCs/>
        </w:rPr>
      </w:pPr>
    </w:p>
    <w:p w14:paraId="1C327E60" w14:textId="77777777" w:rsidR="0010609E" w:rsidRDefault="0010609E" w:rsidP="0010609E">
      <w:pPr>
        <w:pStyle w:val="ListParagraph"/>
        <w:numPr>
          <w:ilvl w:val="0"/>
          <w:numId w:val="11"/>
        </w:numPr>
        <w:spacing w:line="360" w:lineRule="auto"/>
        <w:rPr>
          <w:rFonts w:cstheme="minorHAnsi"/>
          <w:bCs/>
        </w:rPr>
      </w:pPr>
      <w:bookmarkStart w:id="1" w:name="_Hlk59042518"/>
      <w:r>
        <w:rPr>
          <w:rFonts w:cstheme="minorHAnsi"/>
          <w:bCs/>
        </w:rPr>
        <w:t>Commencement of site works by third quarter 2021</w:t>
      </w:r>
    </w:p>
    <w:p w14:paraId="5826F7A0" w14:textId="77777777" w:rsidR="0010609E" w:rsidRDefault="0010609E" w:rsidP="0010609E">
      <w:pPr>
        <w:pStyle w:val="ListParagraph"/>
        <w:numPr>
          <w:ilvl w:val="0"/>
          <w:numId w:val="11"/>
        </w:numPr>
        <w:spacing w:line="360" w:lineRule="auto"/>
        <w:rPr>
          <w:rFonts w:cstheme="minorHAnsi"/>
          <w:bCs/>
        </w:rPr>
      </w:pPr>
      <w:r>
        <w:rPr>
          <w:rFonts w:cstheme="minorHAnsi"/>
          <w:bCs/>
        </w:rPr>
        <w:t>Completion of works summer 2022</w:t>
      </w:r>
    </w:p>
    <w:p w14:paraId="69F68B4A" w14:textId="77777777" w:rsidR="0010609E" w:rsidRDefault="0010609E" w:rsidP="0010609E">
      <w:pPr>
        <w:pStyle w:val="ListParagraph"/>
        <w:numPr>
          <w:ilvl w:val="0"/>
          <w:numId w:val="11"/>
        </w:numPr>
        <w:spacing w:line="360" w:lineRule="auto"/>
        <w:rPr>
          <w:rFonts w:cstheme="minorHAnsi"/>
          <w:bCs/>
        </w:rPr>
      </w:pPr>
      <w:r>
        <w:rPr>
          <w:rFonts w:cstheme="minorHAnsi"/>
          <w:bCs/>
        </w:rPr>
        <w:t xml:space="preserve">Management of the project within the approved budget of £2,217,000, this includes cost expenditure to date and design requirements to meet </w:t>
      </w:r>
      <w:proofErr w:type="spellStart"/>
      <w:r>
        <w:rPr>
          <w:rFonts w:cstheme="minorHAnsi"/>
          <w:bCs/>
        </w:rPr>
        <w:t>Passivhaus</w:t>
      </w:r>
      <w:proofErr w:type="spellEnd"/>
      <w:r>
        <w:rPr>
          <w:rFonts w:cstheme="minorHAnsi"/>
          <w:bCs/>
        </w:rPr>
        <w:t xml:space="preserve"> standards</w:t>
      </w:r>
    </w:p>
    <w:p w14:paraId="324A91BE" w14:textId="77777777" w:rsidR="0010609E" w:rsidRDefault="0010609E" w:rsidP="0010609E">
      <w:pPr>
        <w:pStyle w:val="ListParagraph"/>
        <w:numPr>
          <w:ilvl w:val="0"/>
          <w:numId w:val="11"/>
        </w:numPr>
        <w:spacing w:line="360" w:lineRule="auto"/>
        <w:rPr>
          <w:rFonts w:cstheme="minorHAnsi"/>
          <w:bCs/>
        </w:rPr>
      </w:pPr>
      <w:r>
        <w:rPr>
          <w:rFonts w:cstheme="minorHAnsi"/>
          <w:bCs/>
        </w:rPr>
        <w:t xml:space="preserve">Consideration of enhancements to achieve a </w:t>
      </w:r>
      <w:proofErr w:type="spellStart"/>
      <w:r>
        <w:rPr>
          <w:rFonts w:cstheme="minorHAnsi"/>
          <w:bCs/>
        </w:rPr>
        <w:t>Passivhaus</w:t>
      </w:r>
      <w:proofErr w:type="spellEnd"/>
      <w:r>
        <w:rPr>
          <w:rFonts w:cstheme="minorHAnsi"/>
          <w:bCs/>
        </w:rPr>
        <w:t xml:space="preserve"> accreditation, but as a minimum, a design which represents the very highest quality in terms of environmental outcomes</w:t>
      </w:r>
    </w:p>
    <w:p w14:paraId="71C5E32A" w14:textId="77777777" w:rsidR="0010609E" w:rsidRDefault="0010609E" w:rsidP="0010609E">
      <w:pPr>
        <w:pStyle w:val="ListParagraph"/>
        <w:numPr>
          <w:ilvl w:val="0"/>
          <w:numId w:val="11"/>
        </w:numPr>
        <w:spacing w:line="360" w:lineRule="auto"/>
        <w:rPr>
          <w:rFonts w:cstheme="minorHAnsi"/>
          <w:bCs/>
        </w:rPr>
      </w:pPr>
      <w:r>
        <w:rPr>
          <w:rFonts w:cstheme="minorHAnsi"/>
          <w:bCs/>
        </w:rPr>
        <w:t>The use of modern methods of construction to support the targeted environmental standards and deliver construction efficiencies on site</w:t>
      </w:r>
    </w:p>
    <w:p w14:paraId="4FA8A47D" w14:textId="77777777" w:rsidR="0010609E" w:rsidRDefault="0010609E" w:rsidP="0010609E">
      <w:pPr>
        <w:pStyle w:val="ListParagraph"/>
        <w:numPr>
          <w:ilvl w:val="0"/>
          <w:numId w:val="11"/>
        </w:numPr>
        <w:spacing w:line="360" w:lineRule="auto"/>
        <w:rPr>
          <w:rFonts w:cstheme="minorHAnsi"/>
          <w:bCs/>
        </w:rPr>
      </w:pPr>
      <w:r>
        <w:rPr>
          <w:rFonts w:cstheme="minorHAnsi"/>
          <w:bCs/>
        </w:rPr>
        <w:t>A procurement route which delivers the key outcomes and is compliant with the Councils Contract Procedure Rules</w:t>
      </w:r>
      <w:bookmarkEnd w:id="1"/>
      <w:r>
        <w:rPr>
          <w:rFonts w:cstheme="minorHAnsi"/>
          <w:bCs/>
        </w:rPr>
        <w:t>.</w:t>
      </w:r>
    </w:p>
    <w:p w14:paraId="13BB2E59" w14:textId="77777777" w:rsidR="0010609E" w:rsidRPr="002A3649" w:rsidRDefault="0010609E" w:rsidP="0010609E">
      <w:pPr>
        <w:pStyle w:val="ListParagraph"/>
        <w:spacing w:line="360" w:lineRule="auto"/>
        <w:rPr>
          <w:rFonts w:cs="Arial"/>
          <w:bCs/>
        </w:rPr>
      </w:pPr>
    </w:p>
    <w:p w14:paraId="1D2B9FBB" w14:textId="39DBFF13" w:rsidR="006149F1" w:rsidRPr="0010609E" w:rsidRDefault="0010609E" w:rsidP="00CA04F3">
      <w:pPr>
        <w:numPr>
          <w:ilvl w:val="0"/>
          <w:numId w:val="8"/>
        </w:numPr>
        <w:spacing w:after="0" w:line="240" w:lineRule="auto"/>
        <w:jc w:val="both"/>
        <w:rPr>
          <w:rFonts w:cstheme="minorHAnsi"/>
          <w:bCs/>
        </w:rPr>
      </w:pPr>
      <w:r w:rsidRPr="00370A97">
        <w:rPr>
          <w:rFonts w:cs="Arial"/>
          <w:bCs/>
        </w:rPr>
        <w:t>The key drivers are challenged in a number of different ways, such challenges being potentially mitigate</w:t>
      </w:r>
      <w:r>
        <w:rPr>
          <w:rFonts w:cs="Arial"/>
          <w:bCs/>
        </w:rPr>
        <w:t>d</w:t>
      </w:r>
      <w:r w:rsidRPr="00370A97">
        <w:rPr>
          <w:rFonts w:cs="Arial"/>
          <w:bCs/>
        </w:rPr>
        <w:t xml:space="preserve"> by the selected procurement route. Whilst no procurement option will guarantee to address all of the potential challenges in full, selection will be guided by those which are considered to be of most importance</w:t>
      </w:r>
      <w:r>
        <w:rPr>
          <w:rFonts w:cs="Arial"/>
          <w:bCs/>
        </w:rPr>
        <w:t>.</w:t>
      </w:r>
    </w:p>
    <w:p w14:paraId="47D55FA2" w14:textId="77777777" w:rsidR="0010609E" w:rsidRPr="0010609E" w:rsidRDefault="0010609E" w:rsidP="0010609E">
      <w:pPr>
        <w:spacing w:after="0" w:line="240" w:lineRule="auto"/>
        <w:ind w:left="720"/>
        <w:jc w:val="both"/>
        <w:rPr>
          <w:rFonts w:cstheme="minorHAnsi"/>
          <w:bCs/>
        </w:rPr>
      </w:pPr>
    </w:p>
    <w:p w14:paraId="3BCFD15A" w14:textId="77777777" w:rsidR="0010609E" w:rsidRPr="00BF715C" w:rsidRDefault="0010609E" w:rsidP="0010609E">
      <w:pPr>
        <w:pStyle w:val="ListParagraph"/>
        <w:numPr>
          <w:ilvl w:val="0"/>
          <w:numId w:val="8"/>
        </w:numPr>
        <w:spacing w:line="360" w:lineRule="auto"/>
        <w:rPr>
          <w:rFonts w:cs="Arial"/>
          <w:bCs/>
          <w:sz w:val="24"/>
          <w:szCs w:val="24"/>
        </w:rPr>
      </w:pPr>
      <w:r w:rsidRPr="00BF715C">
        <w:rPr>
          <w:rFonts w:cs="Arial"/>
          <w:bCs/>
          <w:sz w:val="24"/>
          <w:szCs w:val="24"/>
        </w:rPr>
        <w:t>The currently identified key challenges are considered to be:</w:t>
      </w:r>
    </w:p>
    <w:p w14:paraId="2E9F3719" w14:textId="77777777" w:rsidR="0010609E" w:rsidRDefault="0010609E" w:rsidP="0010609E">
      <w:pPr>
        <w:pStyle w:val="ListParagraph"/>
        <w:numPr>
          <w:ilvl w:val="0"/>
          <w:numId w:val="12"/>
        </w:numPr>
        <w:spacing w:line="360" w:lineRule="auto"/>
        <w:rPr>
          <w:rFonts w:cstheme="minorHAnsi"/>
          <w:bCs/>
        </w:rPr>
      </w:pPr>
      <w:r>
        <w:rPr>
          <w:rFonts w:cstheme="minorHAnsi"/>
          <w:bCs/>
        </w:rPr>
        <w:t>Securing a Contractor with the expertise and capacity to design, manufacture and deliver a modular building</w:t>
      </w:r>
    </w:p>
    <w:p w14:paraId="2D1185E9" w14:textId="77777777" w:rsidR="0010609E" w:rsidRDefault="0010609E" w:rsidP="0010609E">
      <w:pPr>
        <w:pStyle w:val="ListParagraph"/>
        <w:numPr>
          <w:ilvl w:val="0"/>
          <w:numId w:val="12"/>
        </w:numPr>
        <w:spacing w:line="360" w:lineRule="auto"/>
        <w:rPr>
          <w:rFonts w:cstheme="minorHAnsi"/>
          <w:bCs/>
        </w:rPr>
      </w:pPr>
      <w:r>
        <w:rPr>
          <w:rFonts w:cstheme="minorHAnsi"/>
          <w:bCs/>
        </w:rPr>
        <w:t xml:space="preserve">Securing a Contractor with the expertise to deliver the </w:t>
      </w:r>
      <w:proofErr w:type="spellStart"/>
      <w:r>
        <w:rPr>
          <w:rFonts w:cstheme="minorHAnsi"/>
          <w:bCs/>
        </w:rPr>
        <w:t>Passivhaus</w:t>
      </w:r>
      <w:proofErr w:type="spellEnd"/>
      <w:r>
        <w:rPr>
          <w:rFonts w:cstheme="minorHAnsi"/>
          <w:bCs/>
        </w:rPr>
        <w:t xml:space="preserve"> / environmentally enhanced standard</w:t>
      </w:r>
    </w:p>
    <w:p w14:paraId="144B0E98" w14:textId="77777777" w:rsidR="0010609E" w:rsidRDefault="0010609E" w:rsidP="0010609E">
      <w:pPr>
        <w:pStyle w:val="ListParagraph"/>
        <w:numPr>
          <w:ilvl w:val="0"/>
          <w:numId w:val="12"/>
        </w:numPr>
        <w:spacing w:line="360" w:lineRule="auto"/>
        <w:rPr>
          <w:rFonts w:cstheme="minorHAnsi"/>
          <w:bCs/>
        </w:rPr>
      </w:pPr>
      <w:r>
        <w:rPr>
          <w:rFonts w:cstheme="minorHAnsi"/>
          <w:bCs/>
        </w:rPr>
        <w:t>The inflated housing and construction market putting pressure on available resource, pressurising the programme and potentially increasing prices</w:t>
      </w:r>
    </w:p>
    <w:p w14:paraId="1E7B939E" w14:textId="77777777" w:rsidR="0010609E" w:rsidRDefault="0010609E" w:rsidP="0010609E">
      <w:pPr>
        <w:pStyle w:val="ListParagraph"/>
        <w:numPr>
          <w:ilvl w:val="0"/>
          <w:numId w:val="12"/>
        </w:numPr>
        <w:spacing w:line="360" w:lineRule="auto"/>
        <w:rPr>
          <w:rFonts w:cstheme="minorHAnsi"/>
          <w:bCs/>
        </w:rPr>
      </w:pPr>
      <w:r>
        <w:rPr>
          <w:rFonts w:cstheme="minorHAnsi"/>
          <w:bCs/>
        </w:rPr>
        <w:t>The status of the design to support the selected procurement route and the time taken to develop the design to the required stage</w:t>
      </w:r>
    </w:p>
    <w:p w14:paraId="05DAE94C" w14:textId="77777777" w:rsidR="0010609E" w:rsidRDefault="0010609E" w:rsidP="0010609E">
      <w:pPr>
        <w:pStyle w:val="ListParagraph"/>
        <w:numPr>
          <w:ilvl w:val="0"/>
          <w:numId w:val="12"/>
        </w:numPr>
        <w:spacing w:line="360" w:lineRule="auto"/>
        <w:rPr>
          <w:rFonts w:cstheme="minorHAnsi"/>
          <w:bCs/>
        </w:rPr>
      </w:pPr>
      <w:r>
        <w:rPr>
          <w:rFonts w:cstheme="minorHAnsi"/>
          <w:bCs/>
        </w:rPr>
        <w:t xml:space="preserve">Ensuring that the design is robust enough such that the requirements of </w:t>
      </w:r>
      <w:proofErr w:type="spellStart"/>
      <w:r>
        <w:rPr>
          <w:rFonts w:cstheme="minorHAnsi"/>
          <w:bCs/>
        </w:rPr>
        <w:t>Passivhaus</w:t>
      </w:r>
      <w:proofErr w:type="spellEnd"/>
      <w:r>
        <w:rPr>
          <w:rFonts w:cstheme="minorHAnsi"/>
          <w:bCs/>
        </w:rPr>
        <w:t xml:space="preserve"> accreditation are met in full</w:t>
      </w:r>
    </w:p>
    <w:p w14:paraId="3A34B45E" w14:textId="77777777" w:rsidR="0010609E" w:rsidRDefault="0010609E" w:rsidP="0010609E">
      <w:pPr>
        <w:pStyle w:val="ListParagraph"/>
        <w:numPr>
          <w:ilvl w:val="0"/>
          <w:numId w:val="12"/>
        </w:numPr>
        <w:spacing w:line="360" w:lineRule="auto"/>
        <w:rPr>
          <w:rFonts w:cstheme="minorHAnsi"/>
          <w:bCs/>
        </w:rPr>
      </w:pPr>
      <w:r>
        <w:rPr>
          <w:rFonts w:cstheme="minorHAnsi"/>
          <w:bCs/>
        </w:rPr>
        <w:t>Addressing any pre-commencement issues such as Party Wall, Tree Removal, Overage Rights and funding</w:t>
      </w:r>
    </w:p>
    <w:p w14:paraId="51C061BC" w14:textId="77777777" w:rsidR="0010609E" w:rsidRPr="00370A97" w:rsidRDefault="0010609E" w:rsidP="0010609E">
      <w:pPr>
        <w:pStyle w:val="ListParagraph"/>
        <w:numPr>
          <w:ilvl w:val="0"/>
          <w:numId w:val="8"/>
        </w:numPr>
        <w:spacing w:line="360" w:lineRule="auto"/>
        <w:rPr>
          <w:rFonts w:cs="Arial"/>
          <w:bCs/>
        </w:rPr>
      </w:pPr>
      <w:r w:rsidRPr="00370A97">
        <w:rPr>
          <w:rFonts w:cs="Arial"/>
          <w:bCs/>
        </w:rPr>
        <w:t xml:space="preserve">Prior to considering the procurement route for the appointment of a Contractor, it is important to first consider the procurement of the design and the </w:t>
      </w:r>
      <w:proofErr w:type="spellStart"/>
      <w:r w:rsidRPr="00370A97">
        <w:rPr>
          <w:rFonts w:cs="Arial"/>
          <w:bCs/>
        </w:rPr>
        <w:t>Passivhaus</w:t>
      </w:r>
      <w:proofErr w:type="spellEnd"/>
      <w:r w:rsidRPr="00370A97">
        <w:rPr>
          <w:rFonts w:cs="Arial"/>
          <w:bCs/>
        </w:rPr>
        <w:t xml:space="preserve"> accreditation. It is understood that the Architectural design has been prepared in accordance with the ‘Passive House Planning Package’ (PHPP) which ensures the design is compliant with the stringent requirements of the standard.</w:t>
      </w:r>
    </w:p>
    <w:p w14:paraId="749E1CC6" w14:textId="77777777" w:rsidR="0010609E" w:rsidRDefault="0010609E" w:rsidP="0010609E">
      <w:pPr>
        <w:pStyle w:val="ListParagraph"/>
        <w:numPr>
          <w:ilvl w:val="0"/>
          <w:numId w:val="8"/>
        </w:numPr>
        <w:spacing w:line="360" w:lineRule="auto"/>
        <w:rPr>
          <w:rFonts w:cs="Arial"/>
          <w:bCs/>
        </w:rPr>
      </w:pPr>
      <w:r w:rsidRPr="00370A97">
        <w:rPr>
          <w:rFonts w:cs="Arial"/>
          <w:bCs/>
        </w:rPr>
        <w:t xml:space="preserve">The design has already been developed to RIBA Stage 3 and is cognisant of modular construction as being the optimum choice to achieve the </w:t>
      </w:r>
      <w:proofErr w:type="spellStart"/>
      <w:r w:rsidRPr="00370A97">
        <w:rPr>
          <w:rFonts w:cs="Arial"/>
          <w:bCs/>
        </w:rPr>
        <w:t>Passivhaus</w:t>
      </w:r>
      <w:proofErr w:type="spellEnd"/>
      <w:r w:rsidRPr="00370A97">
        <w:rPr>
          <w:rFonts w:cs="Arial"/>
          <w:bCs/>
        </w:rPr>
        <w:t xml:space="preserve"> accreditation. A </w:t>
      </w:r>
      <w:r w:rsidRPr="00370A97">
        <w:rPr>
          <w:rFonts w:cs="Arial"/>
          <w:bCs/>
        </w:rPr>
        <w:lastRenderedPageBreak/>
        <w:t>modular build relies heavily on design input from the manufacturer/contractor and it therefore follows that the detailed design should be developed by the specialist</w:t>
      </w:r>
      <w:r>
        <w:rPr>
          <w:rFonts w:cs="Arial"/>
          <w:bCs/>
        </w:rPr>
        <w:t xml:space="preserve">. </w:t>
      </w:r>
    </w:p>
    <w:p w14:paraId="61651869" w14:textId="77777777" w:rsidR="0010609E" w:rsidRPr="00370A97" w:rsidRDefault="0010609E" w:rsidP="0010609E">
      <w:pPr>
        <w:pStyle w:val="ListParagraph"/>
        <w:numPr>
          <w:ilvl w:val="0"/>
          <w:numId w:val="8"/>
        </w:numPr>
        <w:spacing w:line="360" w:lineRule="auto"/>
        <w:rPr>
          <w:rFonts w:cs="Arial"/>
          <w:bCs/>
        </w:rPr>
      </w:pPr>
      <w:r w:rsidRPr="00370A97">
        <w:rPr>
          <w:rFonts w:cs="Arial"/>
          <w:bCs/>
        </w:rPr>
        <w:t>It is recommended that the design is developed to a Stage 3 + which would include:</w:t>
      </w:r>
    </w:p>
    <w:p w14:paraId="7E66606A" w14:textId="77777777" w:rsidR="0010609E" w:rsidRDefault="0010609E" w:rsidP="0010609E">
      <w:pPr>
        <w:pStyle w:val="ListParagraph"/>
        <w:numPr>
          <w:ilvl w:val="0"/>
          <w:numId w:val="13"/>
        </w:numPr>
        <w:spacing w:line="360" w:lineRule="auto"/>
        <w:rPr>
          <w:rFonts w:cstheme="minorHAnsi"/>
          <w:bCs/>
        </w:rPr>
      </w:pPr>
      <w:r>
        <w:rPr>
          <w:rFonts w:cstheme="minorHAnsi"/>
          <w:bCs/>
        </w:rPr>
        <w:t xml:space="preserve">A developed Architectural scope/specification document, which would accurately reflect and described the enhanced requirements to achieve the </w:t>
      </w:r>
      <w:proofErr w:type="spellStart"/>
      <w:r>
        <w:rPr>
          <w:rFonts w:cstheme="minorHAnsi"/>
          <w:bCs/>
        </w:rPr>
        <w:t>Passivhaus</w:t>
      </w:r>
      <w:proofErr w:type="spellEnd"/>
      <w:r>
        <w:rPr>
          <w:rFonts w:cstheme="minorHAnsi"/>
          <w:bCs/>
        </w:rPr>
        <w:t xml:space="preserve"> accreditation</w:t>
      </w:r>
    </w:p>
    <w:p w14:paraId="388DAE68" w14:textId="77777777" w:rsidR="0010609E" w:rsidRDefault="0010609E" w:rsidP="0010609E">
      <w:pPr>
        <w:pStyle w:val="ListParagraph"/>
        <w:numPr>
          <w:ilvl w:val="0"/>
          <w:numId w:val="13"/>
        </w:numPr>
        <w:spacing w:line="360" w:lineRule="auto"/>
        <w:rPr>
          <w:rFonts w:cstheme="minorHAnsi"/>
          <w:bCs/>
        </w:rPr>
      </w:pPr>
      <w:r>
        <w:rPr>
          <w:rFonts w:cstheme="minorHAnsi"/>
          <w:bCs/>
        </w:rPr>
        <w:t xml:space="preserve">A developed MEP scope/specification document, which would accurately reflect and describe the enhanced requirements to achieve the </w:t>
      </w:r>
      <w:proofErr w:type="spellStart"/>
      <w:r>
        <w:rPr>
          <w:rFonts w:cstheme="minorHAnsi"/>
          <w:bCs/>
        </w:rPr>
        <w:t>Passivhaus</w:t>
      </w:r>
      <w:proofErr w:type="spellEnd"/>
      <w:r>
        <w:rPr>
          <w:rFonts w:cstheme="minorHAnsi"/>
          <w:bCs/>
        </w:rPr>
        <w:t xml:space="preserve"> accreditation.</w:t>
      </w:r>
    </w:p>
    <w:p w14:paraId="506470F9" w14:textId="77777777" w:rsidR="0010609E" w:rsidRPr="00370A97" w:rsidRDefault="0010609E" w:rsidP="0010609E">
      <w:pPr>
        <w:pStyle w:val="ListParagraph"/>
        <w:numPr>
          <w:ilvl w:val="0"/>
          <w:numId w:val="8"/>
        </w:numPr>
        <w:spacing w:line="360" w:lineRule="auto"/>
        <w:rPr>
          <w:rFonts w:cs="Arial"/>
          <w:bCs/>
        </w:rPr>
      </w:pPr>
      <w:r>
        <w:rPr>
          <w:rFonts w:cs="Arial"/>
          <w:bCs/>
        </w:rPr>
        <w:t>It is acknowledged that t</w:t>
      </w:r>
      <w:r w:rsidRPr="00370A97">
        <w:rPr>
          <w:rFonts w:cs="Arial"/>
          <w:bCs/>
        </w:rPr>
        <w:t>he selected Contractor procurement method will need to be:</w:t>
      </w:r>
    </w:p>
    <w:p w14:paraId="384EF199" w14:textId="77777777" w:rsidR="0010609E" w:rsidRPr="00370A97" w:rsidRDefault="0010609E" w:rsidP="0010609E">
      <w:pPr>
        <w:pStyle w:val="ListParagraph"/>
        <w:numPr>
          <w:ilvl w:val="0"/>
          <w:numId w:val="14"/>
        </w:numPr>
        <w:spacing w:line="360" w:lineRule="auto"/>
        <w:rPr>
          <w:rFonts w:cs="Arial"/>
          <w:bCs/>
        </w:rPr>
      </w:pPr>
      <w:r w:rsidRPr="00370A97">
        <w:rPr>
          <w:rFonts w:cs="Arial"/>
          <w:bCs/>
        </w:rPr>
        <w:t>OJEU compliant</w:t>
      </w:r>
    </w:p>
    <w:p w14:paraId="47975F10" w14:textId="77777777" w:rsidR="0010609E" w:rsidRPr="00370A97" w:rsidRDefault="0010609E" w:rsidP="0010609E">
      <w:pPr>
        <w:pStyle w:val="ListParagraph"/>
        <w:numPr>
          <w:ilvl w:val="0"/>
          <w:numId w:val="14"/>
        </w:numPr>
        <w:spacing w:line="360" w:lineRule="auto"/>
        <w:rPr>
          <w:rFonts w:cs="Arial"/>
          <w:bCs/>
        </w:rPr>
      </w:pPr>
      <w:r w:rsidRPr="00370A97">
        <w:rPr>
          <w:rFonts w:cs="Arial"/>
          <w:bCs/>
        </w:rPr>
        <w:t>Be compliant with the Councils Procurement Rules</w:t>
      </w:r>
    </w:p>
    <w:p w14:paraId="1526B28B" w14:textId="77777777" w:rsidR="0010609E" w:rsidRPr="00370A97" w:rsidRDefault="0010609E" w:rsidP="0010609E">
      <w:pPr>
        <w:pStyle w:val="ListParagraph"/>
        <w:numPr>
          <w:ilvl w:val="0"/>
          <w:numId w:val="14"/>
        </w:numPr>
        <w:spacing w:line="360" w:lineRule="auto"/>
        <w:rPr>
          <w:rFonts w:cs="Arial"/>
          <w:bCs/>
        </w:rPr>
      </w:pPr>
      <w:r w:rsidRPr="00370A97">
        <w:rPr>
          <w:rFonts w:cs="Arial"/>
          <w:bCs/>
        </w:rPr>
        <w:t>Deliver against the key project objectives</w:t>
      </w:r>
    </w:p>
    <w:p w14:paraId="089C4E26" w14:textId="77777777" w:rsidR="0010609E" w:rsidRDefault="0010609E" w:rsidP="0010609E">
      <w:pPr>
        <w:pStyle w:val="ListParagraph"/>
        <w:numPr>
          <w:ilvl w:val="0"/>
          <w:numId w:val="14"/>
        </w:numPr>
        <w:spacing w:line="360" w:lineRule="auto"/>
        <w:rPr>
          <w:rFonts w:cs="Arial"/>
          <w:bCs/>
        </w:rPr>
      </w:pPr>
      <w:r w:rsidRPr="00370A97">
        <w:rPr>
          <w:rFonts w:cs="Arial"/>
          <w:bCs/>
        </w:rPr>
        <w:t>Address the challenges highlighted previously in this report</w:t>
      </w:r>
      <w:r>
        <w:rPr>
          <w:rFonts w:cs="Arial"/>
          <w:bCs/>
        </w:rPr>
        <w:t>.</w:t>
      </w:r>
    </w:p>
    <w:p w14:paraId="6F6EBE80" w14:textId="77777777" w:rsidR="0010609E" w:rsidRDefault="0010609E" w:rsidP="0010609E">
      <w:pPr>
        <w:pStyle w:val="ListParagraph"/>
        <w:numPr>
          <w:ilvl w:val="0"/>
          <w:numId w:val="14"/>
        </w:numPr>
        <w:spacing w:line="360" w:lineRule="auto"/>
        <w:rPr>
          <w:rFonts w:cs="Arial"/>
          <w:bCs/>
        </w:rPr>
      </w:pPr>
      <w:r>
        <w:rPr>
          <w:rFonts w:cs="Arial"/>
          <w:bCs/>
        </w:rPr>
        <w:t>Provide social value to the Council.</w:t>
      </w:r>
    </w:p>
    <w:p w14:paraId="068F2545" w14:textId="77777777" w:rsidR="0010609E" w:rsidRDefault="0010609E" w:rsidP="0010609E">
      <w:pPr>
        <w:pStyle w:val="ListParagraph"/>
        <w:spacing w:line="360" w:lineRule="auto"/>
        <w:ind w:left="1440"/>
        <w:rPr>
          <w:rFonts w:cs="Arial"/>
          <w:bCs/>
        </w:rPr>
      </w:pPr>
    </w:p>
    <w:p w14:paraId="02895371" w14:textId="77777777" w:rsidR="0010609E" w:rsidRDefault="0010609E" w:rsidP="0010609E">
      <w:pPr>
        <w:pStyle w:val="ListParagraph"/>
        <w:numPr>
          <w:ilvl w:val="0"/>
          <w:numId w:val="8"/>
        </w:numPr>
        <w:spacing w:line="360" w:lineRule="auto"/>
        <w:rPr>
          <w:rFonts w:cs="Arial"/>
          <w:bCs/>
        </w:rPr>
      </w:pPr>
      <w:r w:rsidRPr="00370A97">
        <w:rPr>
          <w:rFonts w:cs="Arial"/>
          <w:bCs/>
        </w:rPr>
        <w:t>The procurement strategies considered are set out below</w:t>
      </w:r>
      <w:r>
        <w:rPr>
          <w:rFonts w:cs="Arial"/>
          <w:bCs/>
        </w:rPr>
        <w:t>;</w:t>
      </w:r>
    </w:p>
    <w:p w14:paraId="6952D8F6" w14:textId="77777777" w:rsidR="0010609E" w:rsidRPr="00370A97" w:rsidRDefault="0010609E" w:rsidP="0010609E">
      <w:pPr>
        <w:pStyle w:val="ListParagraph"/>
        <w:spacing w:line="360" w:lineRule="auto"/>
        <w:rPr>
          <w:rFonts w:cs="Arial"/>
          <w:bCs/>
        </w:rPr>
      </w:pPr>
    </w:p>
    <w:p w14:paraId="2A5A3714" w14:textId="77777777" w:rsidR="0010609E" w:rsidRPr="00FE52B0" w:rsidRDefault="0010609E" w:rsidP="0010609E">
      <w:pPr>
        <w:pStyle w:val="ListParagraph"/>
        <w:numPr>
          <w:ilvl w:val="0"/>
          <w:numId w:val="15"/>
        </w:numPr>
        <w:spacing w:line="360" w:lineRule="auto"/>
        <w:rPr>
          <w:rFonts w:cs="Arial"/>
          <w:bCs/>
        </w:rPr>
      </w:pPr>
      <w:r w:rsidRPr="00370A97">
        <w:rPr>
          <w:rFonts w:cs="Arial"/>
          <w:b/>
        </w:rPr>
        <w:t>Traditional</w:t>
      </w:r>
      <w:r w:rsidRPr="00370A97">
        <w:rPr>
          <w:rFonts w:cs="Arial"/>
          <w:bCs/>
        </w:rPr>
        <w:t>: design developed to RIBA Stage</w:t>
      </w:r>
      <w:r>
        <w:rPr>
          <w:rFonts w:cstheme="minorHAnsi"/>
          <w:bCs/>
        </w:rPr>
        <w:t xml:space="preserve"> 4 by the technical team and open tenders invited based on a Bill </w:t>
      </w:r>
      <w:r w:rsidRPr="00FE52B0">
        <w:rPr>
          <w:rFonts w:cs="Arial"/>
          <w:bCs/>
        </w:rPr>
        <w:t>of Quantities or Approximate Quantities.</w:t>
      </w:r>
    </w:p>
    <w:tbl>
      <w:tblPr>
        <w:tblStyle w:val="TableGrid"/>
        <w:tblW w:w="0" w:type="auto"/>
        <w:tblLook w:val="04A0" w:firstRow="1" w:lastRow="0" w:firstColumn="1" w:lastColumn="0" w:noHBand="0" w:noVBand="1"/>
      </w:tblPr>
      <w:tblGrid>
        <w:gridCol w:w="4507"/>
        <w:gridCol w:w="4509"/>
      </w:tblGrid>
      <w:tr w:rsidR="0010609E" w:rsidRPr="00FE52B0" w14:paraId="1C3E715D" w14:textId="77777777" w:rsidTr="000F1048">
        <w:tc>
          <w:tcPr>
            <w:tcW w:w="452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1FFBF59" w14:textId="77777777" w:rsidR="0010609E" w:rsidRPr="00FE52B0" w:rsidRDefault="0010609E" w:rsidP="000F1048">
            <w:pPr>
              <w:spacing w:line="360" w:lineRule="auto"/>
              <w:jc w:val="center"/>
              <w:rPr>
                <w:rFonts w:cs="Arial"/>
                <w:b/>
              </w:rPr>
            </w:pPr>
            <w:bookmarkStart w:id="2" w:name="_Hlk59047147"/>
            <w:r w:rsidRPr="00FE52B0">
              <w:rPr>
                <w:rFonts w:cs="Arial"/>
                <w:b/>
              </w:rPr>
              <w:t>Advantages</w:t>
            </w:r>
          </w:p>
        </w:tc>
        <w:tc>
          <w:tcPr>
            <w:tcW w:w="452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B5CA54E" w14:textId="77777777" w:rsidR="0010609E" w:rsidRPr="00FE52B0" w:rsidRDefault="0010609E" w:rsidP="000F1048">
            <w:pPr>
              <w:spacing w:line="360" w:lineRule="auto"/>
              <w:jc w:val="center"/>
              <w:rPr>
                <w:rFonts w:cs="Arial"/>
                <w:b/>
              </w:rPr>
            </w:pPr>
            <w:r w:rsidRPr="00FE52B0">
              <w:rPr>
                <w:rFonts w:cs="Arial"/>
                <w:b/>
              </w:rPr>
              <w:t>Disadvantages</w:t>
            </w:r>
          </w:p>
        </w:tc>
      </w:tr>
      <w:tr w:rsidR="0010609E" w:rsidRPr="00FE52B0" w14:paraId="25AAC0EB" w14:textId="77777777" w:rsidTr="000F1048">
        <w:tc>
          <w:tcPr>
            <w:tcW w:w="4527" w:type="dxa"/>
            <w:tcBorders>
              <w:top w:val="single" w:sz="4" w:space="0" w:color="auto"/>
              <w:left w:val="single" w:sz="4" w:space="0" w:color="auto"/>
              <w:bottom w:val="single" w:sz="4" w:space="0" w:color="auto"/>
              <w:right w:val="single" w:sz="4" w:space="0" w:color="auto"/>
            </w:tcBorders>
            <w:hideMark/>
          </w:tcPr>
          <w:p w14:paraId="228FAFF7" w14:textId="77777777" w:rsidR="0010609E" w:rsidRPr="00FE52B0" w:rsidRDefault="0010609E" w:rsidP="000F1048">
            <w:pPr>
              <w:spacing w:line="360" w:lineRule="auto"/>
              <w:rPr>
                <w:rFonts w:cs="Arial"/>
                <w:bCs/>
              </w:rPr>
            </w:pPr>
            <w:r w:rsidRPr="00FE52B0">
              <w:rPr>
                <w:rFonts w:cs="Arial"/>
                <w:bCs/>
              </w:rPr>
              <w:t>Greater control over design and variations to the scope</w:t>
            </w:r>
          </w:p>
        </w:tc>
        <w:tc>
          <w:tcPr>
            <w:tcW w:w="4528" w:type="dxa"/>
            <w:tcBorders>
              <w:top w:val="single" w:sz="4" w:space="0" w:color="auto"/>
              <w:left w:val="single" w:sz="4" w:space="0" w:color="auto"/>
              <w:bottom w:val="single" w:sz="4" w:space="0" w:color="auto"/>
              <w:right w:val="single" w:sz="4" w:space="0" w:color="auto"/>
            </w:tcBorders>
            <w:hideMark/>
          </w:tcPr>
          <w:p w14:paraId="7D5E4C87" w14:textId="77777777" w:rsidR="0010609E" w:rsidRPr="00FE52B0" w:rsidRDefault="0010609E" w:rsidP="000F1048">
            <w:pPr>
              <w:spacing w:line="360" w:lineRule="auto"/>
              <w:rPr>
                <w:rFonts w:cs="Arial"/>
                <w:bCs/>
              </w:rPr>
            </w:pPr>
            <w:r w:rsidRPr="00FE52B0">
              <w:rPr>
                <w:rFonts w:cs="Arial"/>
                <w:bCs/>
              </w:rPr>
              <w:t>Longer procurement period and later start on site</w:t>
            </w:r>
          </w:p>
        </w:tc>
      </w:tr>
      <w:tr w:rsidR="0010609E" w:rsidRPr="00FE52B0" w14:paraId="7F0AB54B" w14:textId="77777777" w:rsidTr="000F1048">
        <w:tc>
          <w:tcPr>
            <w:tcW w:w="4527" w:type="dxa"/>
            <w:tcBorders>
              <w:top w:val="single" w:sz="4" w:space="0" w:color="auto"/>
              <w:left w:val="single" w:sz="4" w:space="0" w:color="auto"/>
              <w:bottom w:val="single" w:sz="4" w:space="0" w:color="auto"/>
              <w:right w:val="single" w:sz="4" w:space="0" w:color="auto"/>
            </w:tcBorders>
            <w:hideMark/>
          </w:tcPr>
          <w:p w14:paraId="22B7C42D" w14:textId="77777777" w:rsidR="0010609E" w:rsidRPr="00FE52B0" w:rsidRDefault="0010609E" w:rsidP="000F1048">
            <w:pPr>
              <w:spacing w:line="360" w:lineRule="auto"/>
              <w:rPr>
                <w:rFonts w:cs="Arial"/>
                <w:bCs/>
              </w:rPr>
            </w:pPr>
            <w:r w:rsidRPr="00FE52B0">
              <w:rPr>
                <w:rFonts w:cs="Arial"/>
                <w:bCs/>
              </w:rPr>
              <w:t>More straightforward appraisal of prices due to consistency of tender documentation</w:t>
            </w:r>
          </w:p>
        </w:tc>
        <w:tc>
          <w:tcPr>
            <w:tcW w:w="4528" w:type="dxa"/>
            <w:tcBorders>
              <w:top w:val="single" w:sz="4" w:space="0" w:color="auto"/>
              <w:left w:val="single" w:sz="4" w:space="0" w:color="auto"/>
              <w:bottom w:val="single" w:sz="4" w:space="0" w:color="auto"/>
              <w:right w:val="single" w:sz="4" w:space="0" w:color="auto"/>
            </w:tcBorders>
            <w:hideMark/>
          </w:tcPr>
          <w:p w14:paraId="7EEDACCA" w14:textId="77777777" w:rsidR="0010609E" w:rsidRPr="00FE52B0" w:rsidRDefault="0010609E" w:rsidP="000F1048">
            <w:pPr>
              <w:spacing w:line="360" w:lineRule="auto"/>
              <w:rPr>
                <w:rFonts w:cs="Arial"/>
                <w:bCs/>
              </w:rPr>
            </w:pPr>
            <w:r w:rsidRPr="00FE52B0">
              <w:rPr>
                <w:rFonts w:cs="Arial"/>
                <w:bCs/>
              </w:rPr>
              <w:t>Reliance on accuracy of contract documents</w:t>
            </w:r>
          </w:p>
        </w:tc>
      </w:tr>
      <w:tr w:rsidR="0010609E" w:rsidRPr="00FE52B0" w14:paraId="20A81C0A" w14:textId="77777777" w:rsidTr="000F1048">
        <w:tc>
          <w:tcPr>
            <w:tcW w:w="4527" w:type="dxa"/>
            <w:tcBorders>
              <w:top w:val="single" w:sz="4" w:space="0" w:color="auto"/>
              <w:left w:val="single" w:sz="4" w:space="0" w:color="auto"/>
              <w:bottom w:val="single" w:sz="4" w:space="0" w:color="auto"/>
              <w:right w:val="single" w:sz="4" w:space="0" w:color="auto"/>
            </w:tcBorders>
            <w:hideMark/>
          </w:tcPr>
          <w:p w14:paraId="58D9FE72" w14:textId="77777777" w:rsidR="0010609E" w:rsidRPr="00FE52B0" w:rsidRDefault="0010609E" w:rsidP="000F1048">
            <w:pPr>
              <w:spacing w:line="360" w:lineRule="auto"/>
              <w:rPr>
                <w:rFonts w:cs="Arial"/>
                <w:bCs/>
              </w:rPr>
            </w:pPr>
            <w:r w:rsidRPr="00FE52B0">
              <w:rPr>
                <w:rFonts w:cs="Arial"/>
                <w:bCs/>
              </w:rPr>
              <w:t>Control over product selection and finish</w:t>
            </w:r>
          </w:p>
        </w:tc>
        <w:tc>
          <w:tcPr>
            <w:tcW w:w="4528" w:type="dxa"/>
            <w:tcBorders>
              <w:top w:val="single" w:sz="4" w:space="0" w:color="auto"/>
              <w:left w:val="single" w:sz="4" w:space="0" w:color="auto"/>
              <w:bottom w:val="single" w:sz="4" w:space="0" w:color="auto"/>
              <w:right w:val="single" w:sz="4" w:space="0" w:color="auto"/>
            </w:tcBorders>
            <w:hideMark/>
          </w:tcPr>
          <w:p w14:paraId="3E035386" w14:textId="77777777" w:rsidR="0010609E" w:rsidRPr="00FE52B0" w:rsidRDefault="0010609E" w:rsidP="000F1048">
            <w:pPr>
              <w:spacing w:line="360" w:lineRule="auto"/>
              <w:rPr>
                <w:rFonts w:cs="Arial"/>
                <w:bCs/>
              </w:rPr>
            </w:pPr>
            <w:r w:rsidRPr="00FE52B0">
              <w:rPr>
                <w:rFonts w:cs="Arial"/>
                <w:bCs/>
              </w:rPr>
              <w:t>Lose the opportunity for early Contractor / specialist engagement and added value</w:t>
            </w:r>
          </w:p>
        </w:tc>
      </w:tr>
      <w:tr w:rsidR="0010609E" w:rsidRPr="00FE52B0" w14:paraId="61D3D0D6" w14:textId="77777777" w:rsidTr="000F1048">
        <w:tc>
          <w:tcPr>
            <w:tcW w:w="4527" w:type="dxa"/>
            <w:tcBorders>
              <w:top w:val="single" w:sz="4" w:space="0" w:color="auto"/>
              <w:left w:val="single" w:sz="4" w:space="0" w:color="auto"/>
              <w:bottom w:val="single" w:sz="4" w:space="0" w:color="auto"/>
              <w:right w:val="single" w:sz="4" w:space="0" w:color="auto"/>
            </w:tcBorders>
          </w:tcPr>
          <w:p w14:paraId="6C4875BC" w14:textId="77777777" w:rsidR="0010609E" w:rsidRPr="00FE52B0" w:rsidRDefault="0010609E" w:rsidP="000F1048">
            <w:pPr>
              <w:spacing w:line="360" w:lineRule="auto"/>
              <w:rPr>
                <w:rFonts w:cs="Arial"/>
                <w:bCs/>
              </w:rPr>
            </w:pPr>
          </w:p>
        </w:tc>
        <w:tc>
          <w:tcPr>
            <w:tcW w:w="4528" w:type="dxa"/>
            <w:tcBorders>
              <w:top w:val="single" w:sz="4" w:space="0" w:color="auto"/>
              <w:left w:val="single" w:sz="4" w:space="0" w:color="auto"/>
              <w:bottom w:val="single" w:sz="4" w:space="0" w:color="auto"/>
              <w:right w:val="single" w:sz="4" w:space="0" w:color="auto"/>
            </w:tcBorders>
            <w:hideMark/>
          </w:tcPr>
          <w:p w14:paraId="32D99FCA" w14:textId="77777777" w:rsidR="0010609E" w:rsidRPr="00FE52B0" w:rsidRDefault="0010609E" w:rsidP="000F1048">
            <w:pPr>
              <w:spacing w:line="360" w:lineRule="auto"/>
              <w:rPr>
                <w:rFonts w:cs="Arial"/>
                <w:bCs/>
              </w:rPr>
            </w:pPr>
            <w:r>
              <w:rPr>
                <w:rFonts w:cs="Arial"/>
                <w:bCs/>
              </w:rPr>
              <w:t>Council retain majority of</w:t>
            </w:r>
            <w:r w:rsidRPr="00FE52B0">
              <w:rPr>
                <w:rFonts w:cs="Arial"/>
                <w:bCs/>
              </w:rPr>
              <w:t xml:space="preserve"> design risk</w:t>
            </w:r>
          </w:p>
        </w:tc>
      </w:tr>
      <w:tr w:rsidR="0010609E" w:rsidRPr="00FE52B0" w14:paraId="6BDF7FAB" w14:textId="77777777" w:rsidTr="000F1048">
        <w:tc>
          <w:tcPr>
            <w:tcW w:w="4527" w:type="dxa"/>
            <w:tcBorders>
              <w:top w:val="single" w:sz="4" w:space="0" w:color="auto"/>
              <w:left w:val="single" w:sz="4" w:space="0" w:color="auto"/>
              <w:bottom w:val="single" w:sz="4" w:space="0" w:color="auto"/>
              <w:right w:val="single" w:sz="4" w:space="0" w:color="auto"/>
            </w:tcBorders>
          </w:tcPr>
          <w:p w14:paraId="15FF9463" w14:textId="77777777" w:rsidR="0010609E" w:rsidRPr="00FE52B0" w:rsidRDefault="0010609E" w:rsidP="000F1048">
            <w:pPr>
              <w:spacing w:line="360" w:lineRule="auto"/>
              <w:rPr>
                <w:rFonts w:cs="Arial"/>
                <w:bCs/>
              </w:rPr>
            </w:pPr>
          </w:p>
        </w:tc>
        <w:tc>
          <w:tcPr>
            <w:tcW w:w="4528" w:type="dxa"/>
            <w:tcBorders>
              <w:top w:val="single" w:sz="4" w:space="0" w:color="auto"/>
              <w:left w:val="single" w:sz="4" w:space="0" w:color="auto"/>
              <w:bottom w:val="single" w:sz="4" w:space="0" w:color="auto"/>
              <w:right w:val="single" w:sz="4" w:space="0" w:color="auto"/>
            </w:tcBorders>
            <w:hideMark/>
          </w:tcPr>
          <w:p w14:paraId="08EC49FF" w14:textId="77777777" w:rsidR="0010609E" w:rsidRPr="00FE52B0" w:rsidRDefault="0010609E" w:rsidP="000F1048">
            <w:pPr>
              <w:spacing w:line="360" w:lineRule="auto"/>
              <w:rPr>
                <w:rFonts w:cs="Arial"/>
                <w:bCs/>
              </w:rPr>
            </w:pPr>
            <w:r w:rsidRPr="00FE52B0">
              <w:rPr>
                <w:rFonts w:cs="Arial"/>
                <w:bCs/>
              </w:rPr>
              <w:t>Contractor bears no design risk</w:t>
            </w:r>
          </w:p>
        </w:tc>
      </w:tr>
      <w:tr w:rsidR="0010609E" w:rsidRPr="00FE52B0" w14:paraId="4A242BEC" w14:textId="77777777" w:rsidTr="000F1048">
        <w:tc>
          <w:tcPr>
            <w:tcW w:w="4527" w:type="dxa"/>
            <w:tcBorders>
              <w:top w:val="single" w:sz="4" w:space="0" w:color="auto"/>
              <w:left w:val="single" w:sz="4" w:space="0" w:color="auto"/>
              <w:bottom w:val="single" w:sz="4" w:space="0" w:color="auto"/>
              <w:right w:val="single" w:sz="4" w:space="0" w:color="auto"/>
            </w:tcBorders>
          </w:tcPr>
          <w:p w14:paraId="7831C09F" w14:textId="77777777" w:rsidR="0010609E" w:rsidRPr="00FE52B0" w:rsidRDefault="0010609E" w:rsidP="000F1048">
            <w:pPr>
              <w:spacing w:line="360" w:lineRule="auto"/>
              <w:rPr>
                <w:rFonts w:cs="Arial"/>
                <w:bCs/>
              </w:rPr>
            </w:pPr>
          </w:p>
        </w:tc>
        <w:tc>
          <w:tcPr>
            <w:tcW w:w="4528" w:type="dxa"/>
            <w:tcBorders>
              <w:top w:val="single" w:sz="4" w:space="0" w:color="auto"/>
              <w:left w:val="single" w:sz="4" w:space="0" w:color="auto"/>
              <w:bottom w:val="single" w:sz="4" w:space="0" w:color="auto"/>
              <w:right w:val="single" w:sz="4" w:space="0" w:color="auto"/>
            </w:tcBorders>
            <w:hideMark/>
          </w:tcPr>
          <w:p w14:paraId="27B79D8F" w14:textId="77777777" w:rsidR="0010609E" w:rsidRPr="00FE52B0" w:rsidRDefault="0010609E" w:rsidP="000F1048">
            <w:pPr>
              <w:spacing w:line="360" w:lineRule="auto"/>
              <w:rPr>
                <w:rFonts w:cs="Arial"/>
                <w:bCs/>
              </w:rPr>
            </w:pPr>
            <w:r w:rsidRPr="00FE52B0">
              <w:rPr>
                <w:rFonts w:cs="Arial"/>
                <w:bCs/>
              </w:rPr>
              <w:t xml:space="preserve">Risk of achieving the </w:t>
            </w:r>
            <w:proofErr w:type="spellStart"/>
            <w:r w:rsidRPr="00FE52B0">
              <w:rPr>
                <w:rFonts w:cs="Arial"/>
                <w:bCs/>
              </w:rPr>
              <w:t>Passivhaus</w:t>
            </w:r>
            <w:proofErr w:type="spellEnd"/>
            <w:r w:rsidRPr="00FE52B0">
              <w:rPr>
                <w:rFonts w:cs="Arial"/>
                <w:bCs/>
              </w:rPr>
              <w:t xml:space="preserve"> accreditation remains with SRC</w:t>
            </w:r>
          </w:p>
        </w:tc>
      </w:tr>
    </w:tbl>
    <w:p w14:paraId="68B5E6AE" w14:textId="77777777" w:rsidR="0010609E" w:rsidRPr="00FE52B0" w:rsidRDefault="0010609E" w:rsidP="0010609E">
      <w:pPr>
        <w:spacing w:line="360" w:lineRule="auto"/>
        <w:rPr>
          <w:rFonts w:cs="Arial"/>
          <w:bCs/>
        </w:rPr>
      </w:pPr>
    </w:p>
    <w:p w14:paraId="255F9B45" w14:textId="77777777" w:rsidR="0010609E" w:rsidRPr="00FE52B0" w:rsidRDefault="0010609E" w:rsidP="0010609E">
      <w:pPr>
        <w:spacing w:line="360" w:lineRule="auto"/>
        <w:ind w:left="720"/>
        <w:rPr>
          <w:rFonts w:cs="Arial"/>
          <w:bCs/>
        </w:rPr>
      </w:pPr>
      <w:r w:rsidRPr="00FE52B0">
        <w:rPr>
          <w:rFonts w:cs="Arial"/>
          <w:b/>
          <w:color w:val="FF0000"/>
        </w:rPr>
        <w:t>Recommendation</w:t>
      </w:r>
      <w:r w:rsidRPr="00FE52B0">
        <w:rPr>
          <w:rFonts w:cs="Arial"/>
          <w:bCs/>
        </w:rPr>
        <w:t xml:space="preserve">: not considered the optimum procurement solution for the scheme, due to the length of time in procurement and the requirement to involve the specialist in the development of the </w:t>
      </w:r>
      <w:r>
        <w:rPr>
          <w:rFonts w:cs="Arial"/>
          <w:bCs/>
        </w:rPr>
        <w:t>modular design.</w:t>
      </w:r>
    </w:p>
    <w:bookmarkEnd w:id="2"/>
    <w:p w14:paraId="5FD47BC8" w14:textId="77777777" w:rsidR="0010609E" w:rsidRPr="00FE52B0" w:rsidRDefault="0010609E" w:rsidP="0010609E">
      <w:pPr>
        <w:spacing w:after="160" w:line="256" w:lineRule="auto"/>
        <w:rPr>
          <w:rFonts w:cs="Arial"/>
          <w:bCs/>
        </w:rPr>
      </w:pPr>
    </w:p>
    <w:p w14:paraId="759DA010" w14:textId="77777777" w:rsidR="0010609E" w:rsidRDefault="0010609E" w:rsidP="0010609E">
      <w:pPr>
        <w:pStyle w:val="ListParagraph"/>
        <w:numPr>
          <w:ilvl w:val="0"/>
          <w:numId w:val="15"/>
        </w:numPr>
        <w:spacing w:line="360" w:lineRule="auto"/>
        <w:rPr>
          <w:rFonts w:cstheme="minorHAnsi"/>
          <w:b/>
        </w:rPr>
      </w:pPr>
      <w:r>
        <w:rPr>
          <w:rFonts w:cstheme="minorHAnsi"/>
          <w:b/>
        </w:rPr>
        <w:t xml:space="preserve">Design &amp; Build: </w:t>
      </w:r>
      <w:r>
        <w:rPr>
          <w:rFonts w:cstheme="minorHAnsi"/>
          <w:bCs/>
        </w:rPr>
        <w:t xml:space="preserve"> Employers Requirements / Specification documents developed by the technical team and open tenders invited based on a Contract Sum Analysis and Contractor design</w:t>
      </w:r>
    </w:p>
    <w:tbl>
      <w:tblPr>
        <w:tblStyle w:val="TableGrid"/>
        <w:tblW w:w="0" w:type="auto"/>
        <w:tblLook w:val="04A0" w:firstRow="1" w:lastRow="0" w:firstColumn="1" w:lastColumn="0" w:noHBand="0" w:noVBand="1"/>
      </w:tblPr>
      <w:tblGrid>
        <w:gridCol w:w="4507"/>
        <w:gridCol w:w="4509"/>
      </w:tblGrid>
      <w:tr w:rsidR="0010609E" w:rsidRPr="00FE52B0" w14:paraId="20BE8D8E" w14:textId="77777777" w:rsidTr="000F1048">
        <w:tc>
          <w:tcPr>
            <w:tcW w:w="452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B12820B" w14:textId="77777777" w:rsidR="0010609E" w:rsidRPr="00FE52B0" w:rsidRDefault="0010609E" w:rsidP="000F1048">
            <w:pPr>
              <w:spacing w:line="360" w:lineRule="auto"/>
              <w:jc w:val="center"/>
              <w:rPr>
                <w:rFonts w:cs="Arial"/>
                <w:b/>
              </w:rPr>
            </w:pPr>
            <w:r w:rsidRPr="00FE52B0">
              <w:rPr>
                <w:rFonts w:cs="Arial"/>
                <w:b/>
              </w:rPr>
              <w:t>Advantages</w:t>
            </w:r>
          </w:p>
        </w:tc>
        <w:tc>
          <w:tcPr>
            <w:tcW w:w="452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013C021" w14:textId="77777777" w:rsidR="0010609E" w:rsidRPr="00FE52B0" w:rsidRDefault="0010609E" w:rsidP="000F1048">
            <w:pPr>
              <w:spacing w:line="360" w:lineRule="auto"/>
              <w:jc w:val="center"/>
              <w:rPr>
                <w:rFonts w:cs="Arial"/>
                <w:b/>
              </w:rPr>
            </w:pPr>
            <w:r w:rsidRPr="00FE52B0">
              <w:rPr>
                <w:rFonts w:cs="Arial"/>
                <w:b/>
              </w:rPr>
              <w:t>Disadvantages</w:t>
            </w:r>
          </w:p>
        </w:tc>
      </w:tr>
      <w:tr w:rsidR="0010609E" w:rsidRPr="00FE52B0" w14:paraId="52BACB67" w14:textId="77777777" w:rsidTr="000F1048">
        <w:tc>
          <w:tcPr>
            <w:tcW w:w="4527" w:type="dxa"/>
            <w:tcBorders>
              <w:top w:val="single" w:sz="4" w:space="0" w:color="auto"/>
              <w:left w:val="single" w:sz="4" w:space="0" w:color="auto"/>
              <w:bottom w:val="single" w:sz="4" w:space="0" w:color="auto"/>
              <w:right w:val="single" w:sz="4" w:space="0" w:color="auto"/>
            </w:tcBorders>
            <w:hideMark/>
          </w:tcPr>
          <w:p w14:paraId="494932B6" w14:textId="77777777" w:rsidR="0010609E" w:rsidRPr="00FE52B0" w:rsidRDefault="0010609E" w:rsidP="000F1048">
            <w:pPr>
              <w:spacing w:line="360" w:lineRule="auto"/>
              <w:rPr>
                <w:rFonts w:cs="Arial"/>
                <w:bCs/>
              </w:rPr>
            </w:pPr>
            <w:r w:rsidRPr="00FE52B0">
              <w:rPr>
                <w:rFonts w:cs="Arial"/>
                <w:bCs/>
              </w:rPr>
              <w:t xml:space="preserve">Greater risk transfer to the Contractor, including the requirement to achieve the </w:t>
            </w:r>
            <w:proofErr w:type="spellStart"/>
            <w:r w:rsidRPr="00FE52B0">
              <w:rPr>
                <w:rFonts w:cs="Arial"/>
                <w:bCs/>
              </w:rPr>
              <w:t>Passivhaus</w:t>
            </w:r>
            <w:proofErr w:type="spellEnd"/>
            <w:r w:rsidRPr="00FE52B0">
              <w:rPr>
                <w:rFonts w:cs="Arial"/>
                <w:bCs/>
              </w:rPr>
              <w:t xml:space="preserve"> certification</w:t>
            </w:r>
          </w:p>
        </w:tc>
        <w:tc>
          <w:tcPr>
            <w:tcW w:w="4528" w:type="dxa"/>
            <w:tcBorders>
              <w:top w:val="single" w:sz="4" w:space="0" w:color="auto"/>
              <w:left w:val="single" w:sz="4" w:space="0" w:color="auto"/>
              <w:bottom w:val="single" w:sz="4" w:space="0" w:color="auto"/>
              <w:right w:val="single" w:sz="4" w:space="0" w:color="auto"/>
            </w:tcBorders>
            <w:hideMark/>
          </w:tcPr>
          <w:p w14:paraId="182B5DD1" w14:textId="77777777" w:rsidR="0010609E" w:rsidRPr="00FE52B0" w:rsidRDefault="0010609E" w:rsidP="000F1048">
            <w:pPr>
              <w:spacing w:line="360" w:lineRule="auto"/>
              <w:rPr>
                <w:rFonts w:cs="Arial"/>
                <w:bCs/>
              </w:rPr>
            </w:pPr>
            <w:r w:rsidRPr="00FE52B0">
              <w:rPr>
                <w:rFonts w:cs="Arial"/>
                <w:bCs/>
              </w:rPr>
              <w:t>Variations to the scope more difficult to value and can be more costly</w:t>
            </w:r>
          </w:p>
        </w:tc>
      </w:tr>
      <w:tr w:rsidR="0010609E" w:rsidRPr="00FE52B0" w14:paraId="540C3380" w14:textId="77777777" w:rsidTr="000F1048">
        <w:tc>
          <w:tcPr>
            <w:tcW w:w="4527" w:type="dxa"/>
            <w:tcBorders>
              <w:top w:val="single" w:sz="4" w:space="0" w:color="auto"/>
              <w:left w:val="single" w:sz="4" w:space="0" w:color="auto"/>
              <w:bottom w:val="single" w:sz="4" w:space="0" w:color="auto"/>
              <w:right w:val="single" w:sz="4" w:space="0" w:color="auto"/>
            </w:tcBorders>
            <w:hideMark/>
          </w:tcPr>
          <w:p w14:paraId="631A1C43" w14:textId="77777777" w:rsidR="0010609E" w:rsidRPr="00FE52B0" w:rsidRDefault="0010609E" w:rsidP="000F1048">
            <w:pPr>
              <w:spacing w:line="360" w:lineRule="auto"/>
              <w:rPr>
                <w:rFonts w:cs="Arial"/>
                <w:bCs/>
              </w:rPr>
            </w:pPr>
            <w:r w:rsidRPr="00FE52B0">
              <w:rPr>
                <w:rFonts w:cs="Arial"/>
                <w:bCs/>
              </w:rPr>
              <w:t>Cost and time certainty</w:t>
            </w:r>
          </w:p>
        </w:tc>
        <w:tc>
          <w:tcPr>
            <w:tcW w:w="4528" w:type="dxa"/>
            <w:tcBorders>
              <w:top w:val="single" w:sz="4" w:space="0" w:color="auto"/>
              <w:left w:val="single" w:sz="4" w:space="0" w:color="auto"/>
              <w:bottom w:val="single" w:sz="4" w:space="0" w:color="auto"/>
              <w:right w:val="single" w:sz="4" w:space="0" w:color="auto"/>
            </w:tcBorders>
            <w:hideMark/>
          </w:tcPr>
          <w:p w14:paraId="7BBB1B1D" w14:textId="77777777" w:rsidR="0010609E" w:rsidRPr="00FE52B0" w:rsidRDefault="0010609E" w:rsidP="000F1048">
            <w:pPr>
              <w:spacing w:line="360" w:lineRule="auto"/>
              <w:rPr>
                <w:rFonts w:cs="Arial"/>
                <w:bCs/>
              </w:rPr>
            </w:pPr>
            <w:r w:rsidRPr="00FE52B0">
              <w:rPr>
                <w:rFonts w:cs="Arial"/>
                <w:bCs/>
              </w:rPr>
              <w:t>Appraisal of tenders can be more difficult if the documentation is not robust, potential for greater derogation</w:t>
            </w:r>
          </w:p>
        </w:tc>
      </w:tr>
      <w:tr w:rsidR="0010609E" w:rsidRPr="00FE52B0" w14:paraId="1C09DA47" w14:textId="77777777" w:rsidTr="000F1048">
        <w:tc>
          <w:tcPr>
            <w:tcW w:w="4527" w:type="dxa"/>
            <w:tcBorders>
              <w:top w:val="single" w:sz="4" w:space="0" w:color="auto"/>
              <w:left w:val="single" w:sz="4" w:space="0" w:color="auto"/>
              <w:bottom w:val="single" w:sz="4" w:space="0" w:color="auto"/>
              <w:right w:val="single" w:sz="4" w:space="0" w:color="auto"/>
            </w:tcBorders>
            <w:hideMark/>
          </w:tcPr>
          <w:p w14:paraId="73209B06" w14:textId="77777777" w:rsidR="0010609E" w:rsidRPr="00FE52B0" w:rsidRDefault="0010609E" w:rsidP="000F1048">
            <w:pPr>
              <w:spacing w:line="360" w:lineRule="auto"/>
              <w:rPr>
                <w:rFonts w:cs="Arial"/>
                <w:bCs/>
              </w:rPr>
            </w:pPr>
            <w:r w:rsidRPr="00FE52B0">
              <w:rPr>
                <w:rFonts w:cs="Arial"/>
                <w:bCs/>
              </w:rPr>
              <w:t>Quicker start on site</w:t>
            </w:r>
          </w:p>
        </w:tc>
        <w:tc>
          <w:tcPr>
            <w:tcW w:w="4528" w:type="dxa"/>
            <w:tcBorders>
              <w:top w:val="single" w:sz="4" w:space="0" w:color="auto"/>
              <w:left w:val="single" w:sz="4" w:space="0" w:color="auto"/>
              <w:bottom w:val="single" w:sz="4" w:space="0" w:color="auto"/>
              <w:right w:val="single" w:sz="4" w:space="0" w:color="auto"/>
            </w:tcBorders>
            <w:hideMark/>
          </w:tcPr>
          <w:p w14:paraId="44E83A1A" w14:textId="77777777" w:rsidR="0010609E" w:rsidRPr="00FE52B0" w:rsidRDefault="0010609E" w:rsidP="000F1048">
            <w:pPr>
              <w:spacing w:line="360" w:lineRule="auto"/>
              <w:rPr>
                <w:rFonts w:cs="Arial"/>
                <w:bCs/>
              </w:rPr>
            </w:pPr>
            <w:r w:rsidRPr="00FE52B0">
              <w:rPr>
                <w:rFonts w:cs="Arial"/>
                <w:bCs/>
              </w:rPr>
              <w:t>Potential cost inflation due to the increased risk profile assumed by the Contractor</w:t>
            </w:r>
          </w:p>
        </w:tc>
      </w:tr>
      <w:tr w:rsidR="0010609E" w:rsidRPr="00FE52B0" w14:paraId="04CFF25D" w14:textId="77777777" w:rsidTr="000F1048">
        <w:tc>
          <w:tcPr>
            <w:tcW w:w="4527" w:type="dxa"/>
            <w:tcBorders>
              <w:top w:val="single" w:sz="4" w:space="0" w:color="auto"/>
              <w:left w:val="single" w:sz="4" w:space="0" w:color="auto"/>
              <w:bottom w:val="single" w:sz="4" w:space="0" w:color="auto"/>
              <w:right w:val="single" w:sz="4" w:space="0" w:color="auto"/>
            </w:tcBorders>
            <w:hideMark/>
          </w:tcPr>
          <w:p w14:paraId="41079FAC" w14:textId="77777777" w:rsidR="0010609E" w:rsidRPr="00FE52B0" w:rsidRDefault="0010609E" w:rsidP="000F1048">
            <w:pPr>
              <w:spacing w:line="360" w:lineRule="auto"/>
              <w:rPr>
                <w:rFonts w:cs="Arial"/>
                <w:bCs/>
              </w:rPr>
            </w:pPr>
            <w:r w:rsidRPr="00FE52B0">
              <w:rPr>
                <w:rFonts w:cs="Arial"/>
                <w:bCs/>
              </w:rPr>
              <w:t>Early Contractor engagement and support with regard to the development of the modular construction requirements</w:t>
            </w:r>
          </w:p>
        </w:tc>
        <w:tc>
          <w:tcPr>
            <w:tcW w:w="4528" w:type="dxa"/>
            <w:tcBorders>
              <w:top w:val="single" w:sz="4" w:space="0" w:color="auto"/>
              <w:left w:val="single" w:sz="4" w:space="0" w:color="auto"/>
              <w:bottom w:val="single" w:sz="4" w:space="0" w:color="auto"/>
              <w:right w:val="single" w:sz="4" w:space="0" w:color="auto"/>
            </w:tcBorders>
          </w:tcPr>
          <w:p w14:paraId="5C856712" w14:textId="77777777" w:rsidR="0010609E" w:rsidRPr="00FE52B0" w:rsidRDefault="0010609E" w:rsidP="000F1048">
            <w:pPr>
              <w:spacing w:line="360" w:lineRule="auto"/>
              <w:rPr>
                <w:rFonts w:cs="Arial"/>
                <w:bCs/>
              </w:rPr>
            </w:pPr>
          </w:p>
        </w:tc>
      </w:tr>
      <w:tr w:rsidR="0010609E" w:rsidRPr="00FE52B0" w14:paraId="7B7ADAE8" w14:textId="77777777" w:rsidTr="000F1048">
        <w:tc>
          <w:tcPr>
            <w:tcW w:w="4527" w:type="dxa"/>
            <w:tcBorders>
              <w:top w:val="single" w:sz="4" w:space="0" w:color="auto"/>
              <w:left w:val="single" w:sz="4" w:space="0" w:color="auto"/>
              <w:bottom w:val="single" w:sz="4" w:space="0" w:color="auto"/>
              <w:right w:val="single" w:sz="4" w:space="0" w:color="auto"/>
            </w:tcBorders>
            <w:hideMark/>
          </w:tcPr>
          <w:p w14:paraId="38917E93" w14:textId="77777777" w:rsidR="0010609E" w:rsidRPr="00FE52B0" w:rsidRDefault="0010609E" w:rsidP="000F1048">
            <w:pPr>
              <w:spacing w:line="360" w:lineRule="auto"/>
              <w:rPr>
                <w:rFonts w:cs="Arial"/>
                <w:bCs/>
              </w:rPr>
            </w:pPr>
            <w:r w:rsidRPr="00FE52B0">
              <w:rPr>
                <w:rFonts w:cs="Arial"/>
                <w:bCs/>
              </w:rPr>
              <w:t>Less Client side admin requirements</w:t>
            </w:r>
          </w:p>
        </w:tc>
        <w:tc>
          <w:tcPr>
            <w:tcW w:w="4528" w:type="dxa"/>
            <w:tcBorders>
              <w:top w:val="single" w:sz="4" w:space="0" w:color="auto"/>
              <w:left w:val="single" w:sz="4" w:space="0" w:color="auto"/>
              <w:bottom w:val="single" w:sz="4" w:space="0" w:color="auto"/>
              <w:right w:val="single" w:sz="4" w:space="0" w:color="auto"/>
            </w:tcBorders>
          </w:tcPr>
          <w:p w14:paraId="40B1AE5C" w14:textId="77777777" w:rsidR="0010609E" w:rsidRPr="00FE52B0" w:rsidRDefault="0010609E" w:rsidP="000F1048">
            <w:pPr>
              <w:spacing w:line="360" w:lineRule="auto"/>
              <w:rPr>
                <w:rFonts w:cs="Arial"/>
                <w:bCs/>
              </w:rPr>
            </w:pPr>
          </w:p>
        </w:tc>
      </w:tr>
      <w:tr w:rsidR="0010609E" w:rsidRPr="00FE52B0" w14:paraId="3817B65F" w14:textId="77777777" w:rsidTr="000F1048">
        <w:tc>
          <w:tcPr>
            <w:tcW w:w="4527" w:type="dxa"/>
            <w:tcBorders>
              <w:top w:val="single" w:sz="4" w:space="0" w:color="auto"/>
              <w:left w:val="single" w:sz="4" w:space="0" w:color="auto"/>
              <w:bottom w:val="single" w:sz="4" w:space="0" w:color="auto"/>
              <w:right w:val="single" w:sz="4" w:space="0" w:color="auto"/>
            </w:tcBorders>
            <w:hideMark/>
          </w:tcPr>
          <w:p w14:paraId="332CEE2B" w14:textId="77777777" w:rsidR="0010609E" w:rsidRPr="00FE52B0" w:rsidRDefault="0010609E" w:rsidP="000F1048">
            <w:pPr>
              <w:spacing w:line="360" w:lineRule="auto"/>
              <w:rPr>
                <w:rFonts w:cs="Arial"/>
                <w:bCs/>
              </w:rPr>
            </w:pPr>
            <w:r w:rsidRPr="00FE52B0">
              <w:rPr>
                <w:rFonts w:cs="Arial"/>
                <w:bCs/>
              </w:rPr>
              <w:t>More focussed responsibility for the Client team</w:t>
            </w:r>
          </w:p>
        </w:tc>
        <w:tc>
          <w:tcPr>
            <w:tcW w:w="4528" w:type="dxa"/>
            <w:tcBorders>
              <w:top w:val="single" w:sz="4" w:space="0" w:color="auto"/>
              <w:left w:val="single" w:sz="4" w:space="0" w:color="auto"/>
              <w:bottom w:val="single" w:sz="4" w:space="0" w:color="auto"/>
              <w:right w:val="single" w:sz="4" w:space="0" w:color="auto"/>
            </w:tcBorders>
          </w:tcPr>
          <w:p w14:paraId="5DB9B313" w14:textId="77777777" w:rsidR="0010609E" w:rsidRPr="00FE52B0" w:rsidRDefault="0010609E" w:rsidP="000F1048">
            <w:pPr>
              <w:spacing w:line="360" w:lineRule="auto"/>
              <w:rPr>
                <w:rFonts w:cs="Arial"/>
                <w:bCs/>
              </w:rPr>
            </w:pPr>
          </w:p>
        </w:tc>
      </w:tr>
    </w:tbl>
    <w:p w14:paraId="00BC2585" w14:textId="77777777" w:rsidR="0010609E" w:rsidRPr="00FE52B0" w:rsidRDefault="0010609E" w:rsidP="0010609E">
      <w:pPr>
        <w:spacing w:line="360" w:lineRule="auto"/>
        <w:rPr>
          <w:rFonts w:cs="Arial"/>
          <w:bCs/>
        </w:rPr>
      </w:pPr>
    </w:p>
    <w:p w14:paraId="4CF80BF9" w14:textId="77777777" w:rsidR="0010609E" w:rsidRPr="00FE52B0" w:rsidRDefault="0010609E" w:rsidP="0010609E">
      <w:pPr>
        <w:spacing w:line="360" w:lineRule="auto"/>
        <w:ind w:left="720"/>
        <w:rPr>
          <w:rFonts w:cs="Arial"/>
          <w:bCs/>
        </w:rPr>
      </w:pPr>
      <w:r w:rsidRPr="00FE52B0">
        <w:rPr>
          <w:rFonts w:cs="Arial"/>
          <w:b/>
          <w:color w:val="FF0000"/>
        </w:rPr>
        <w:t>Recommendation</w:t>
      </w:r>
      <w:r w:rsidRPr="00FE52B0">
        <w:rPr>
          <w:rFonts w:cs="Arial"/>
          <w:bCs/>
        </w:rPr>
        <w:t>: that a Contractor be appointed on the basis of a Design and Build contract, allowing the specialist design to be developed, a more straightforward tender process and an earlier commencement on site</w:t>
      </w:r>
      <w:r>
        <w:rPr>
          <w:rFonts w:cs="Arial"/>
          <w:bCs/>
        </w:rPr>
        <w:t>.</w:t>
      </w:r>
    </w:p>
    <w:p w14:paraId="2D2A5667" w14:textId="77777777" w:rsidR="0010609E" w:rsidRPr="00FE52B0" w:rsidRDefault="0010609E" w:rsidP="0010609E">
      <w:pPr>
        <w:pStyle w:val="ListParagraph"/>
        <w:numPr>
          <w:ilvl w:val="0"/>
          <w:numId w:val="8"/>
        </w:numPr>
        <w:spacing w:line="360" w:lineRule="auto"/>
        <w:rPr>
          <w:rFonts w:cs="Arial"/>
          <w:bCs/>
        </w:rPr>
      </w:pPr>
      <w:r w:rsidRPr="00FE52B0">
        <w:rPr>
          <w:rFonts w:cs="Arial"/>
          <w:bCs/>
        </w:rPr>
        <w:t>Other possibilities considered and discounted:</w:t>
      </w:r>
    </w:p>
    <w:p w14:paraId="4C416B02" w14:textId="77777777" w:rsidR="0010609E" w:rsidRDefault="0010609E" w:rsidP="0010609E">
      <w:pPr>
        <w:pStyle w:val="ListParagraph"/>
        <w:numPr>
          <w:ilvl w:val="0"/>
          <w:numId w:val="15"/>
        </w:numPr>
        <w:spacing w:line="360" w:lineRule="auto"/>
        <w:rPr>
          <w:rFonts w:cs="Arial"/>
          <w:bCs/>
        </w:rPr>
      </w:pPr>
      <w:r w:rsidRPr="00FE52B0">
        <w:rPr>
          <w:rFonts w:cs="Arial"/>
          <w:b/>
        </w:rPr>
        <w:t>Target cost</w:t>
      </w:r>
      <w:r w:rsidRPr="00FE52B0">
        <w:rPr>
          <w:rFonts w:cs="Arial"/>
          <w:bCs/>
        </w:rPr>
        <w:t>: lack of cost control</w:t>
      </w:r>
      <w:r>
        <w:rPr>
          <w:rFonts w:cs="Arial"/>
          <w:bCs/>
        </w:rPr>
        <w:t>.</w:t>
      </w:r>
    </w:p>
    <w:p w14:paraId="04B31168" w14:textId="77777777" w:rsidR="0010609E" w:rsidRPr="00FE52B0" w:rsidRDefault="0010609E" w:rsidP="0010609E">
      <w:pPr>
        <w:pStyle w:val="ListParagraph"/>
        <w:spacing w:line="360" w:lineRule="auto"/>
        <w:rPr>
          <w:rFonts w:cs="Arial"/>
          <w:bCs/>
        </w:rPr>
      </w:pPr>
    </w:p>
    <w:p w14:paraId="22320833" w14:textId="50B4DF86" w:rsidR="0010609E" w:rsidRDefault="0010609E" w:rsidP="00CA04F3">
      <w:pPr>
        <w:numPr>
          <w:ilvl w:val="0"/>
          <w:numId w:val="8"/>
        </w:numPr>
        <w:spacing w:after="0" w:line="240" w:lineRule="auto"/>
        <w:jc w:val="both"/>
        <w:rPr>
          <w:rFonts w:cstheme="minorHAnsi"/>
          <w:bCs/>
        </w:rPr>
      </w:pPr>
      <w:r w:rsidRPr="00FE52B0">
        <w:rPr>
          <w:rFonts w:cs="Arial"/>
          <w:bCs/>
        </w:rPr>
        <w:t xml:space="preserve">Consideration also needs to be given </w:t>
      </w:r>
      <w:r>
        <w:rPr>
          <w:rFonts w:cs="Arial"/>
          <w:bCs/>
        </w:rPr>
        <w:t xml:space="preserve">on whether a single stage or two stage tender process should be used. </w:t>
      </w:r>
      <w:r w:rsidRPr="00FE52B0">
        <w:rPr>
          <w:rFonts w:cstheme="minorHAnsi"/>
          <w:bCs/>
        </w:rPr>
        <w:t>The ideal option would be to issue tenders on the basis of single stage appointment, obtaining a fixed price from the market at the earliest opportunity and allowing the Stage 4 design to progress prior to site works commencing. Whilst this is the aspiration, it is acknowledged that the market preference, in order to de-risk projects from the Contractor side, is to seek appointment on a 2-stage basis and develop the price on an ‘open book’ basis. It is proposed that the market be tested through Expressions of Interest based on a single stage design and build tender approach and prepare for the need to flex the approach to a 2-stage tender if the market dictates this</w:t>
      </w:r>
      <w:r>
        <w:rPr>
          <w:rFonts w:cstheme="minorHAnsi"/>
          <w:bCs/>
        </w:rPr>
        <w:t>.</w:t>
      </w:r>
    </w:p>
    <w:p w14:paraId="45EFEBC0" w14:textId="77777777" w:rsidR="0010609E" w:rsidRDefault="0010609E" w:rsidP="0010609E">
      <w:pPr>
        <w:spacing w:after="0" w:line="240" w:lineRule="auto"/>
        <w:ind w:left="720"/>
        <w:jc w:val="both"/>
        <w:rPr>
          <w:rFonts w:cstheme="minorHAnsi"/>
          <w:bCs/>
        </w:rPr>
      </w:pPr>
    </w:p>
    <w:p w14:paraId="35D22161" w14:textId="49DCE335" w:rsidR="0010609E" w:rsidRPr="00FE52B0" w:rsidRDefault="0010609E" w:rsidP="0010609E">
      <w:pPr>
        <w:pStyle w:val="ListParagraph"/>
        <w:numPr>
          <w:ilvl w:val="0"/>
          <w:numId w:val="8"/>
        </w:numPr>
        <w:spacing w:line="360" w:lineRule="auto"/>
        <w:rPr>
          <w:rFonts w:cstheme="minorHAnsi"/>
          <w:b/>
        </w:rPr>
      </w:pPr>
      <w:r>
        <w:rPr>
          <w:rFonts w:cstheme="minorHAnsi"/>
          <w:bCs/>
        </w:rPr>
        <w:lastRenderedPageBreak/>
        <w:t xml:space="preserve">Given the type of project, the volatility in the market, the probability that appropriate resource exists within the locality and the specialist nature of the modular construction, an open tender via the chest is not the recommended route for the selection of a tender cohort and an appropriate framework is proposed. The suitability and capacity of the frameworks would need to be interrogated swiftly and the team be prepared to flex the approach to an open tender if a suitable framework partner could not be found. </w:t>
      </w:r>
      <w:r w:rsidRPr="00FE52B0">
        <w:rPr>
          <w:rFonts w:cstheme="minorHAnsi"/>
          <w:bCs/>
        </w:rPr>
        <w:t xml:space="preserve"> It is recommended that one of the specialist modular house-building frameworks </w:t>
      </w:r>
      <w:r>
        <w:rPr>
          <w:rFonts w:cstheme="minorHAnsi"/>
          <w:bCs/>
        </w:rPr>
        <w:t>is utilised. The framework to be used will be depend</w:t>
      </w:r>
      <w:r w:rsidR="00462A1B">
        <w:rPr>
          <w:rFonts w:cstheme="minorHAnsi"/>
          <w:bCs/>
        </w:rPr>
        <w:t>e</w:t>
      </w:r>
      <w:r>
        <w:rPr>
          <w:rFonts w:cstheme="minorHAnsi"/>
          <w:bCs/>
        </w:rPr>
        <w:t>nt on the outcome of the Expression of Interest review and the framework that can provide terms that a favourable to the Council.</w:t>
      </w:r>
    </w:p>
    <w:p w14:paraId="72C818CD" w14:textId="77777777" w:rsidR="002A67C5" w:rsidRPr="00AD2B35" w:rsidRDefault="002A67C5" w:rsidP="002A67C5">
      <w:pPr>
        <w:pStyle w:val="ListParagraph"/>
        <w:numPr>
          <w:ilvl w:val="0"/>
          <w:numId w:val="8"/>
        </w:numPr>
        <w:tabs>
          <w:tab w:val="left" w:pos="567"/>
        </w:tabs>
        <w:rPr>
          <w:rFonts w:cs="Arial"/>
          <w:iCs/>
        </w:rPr>
      </w:pPr>
      <w:r w:rsidRPr="00AD2B35">
        <w:rPr>
          <w:rFonts w:cs="Arial"/>
          <w:iCs/>
        </w:rPr>
        <w:t xml:space="preserve">The contractors tendering under the framework would be subject to a rigorous evaluation process using the </w:t>
      </w:r>
      <w:r w:rsidRPr="00AD2B35">
        <w:rPr>
          <w:rFonts w:cs="Arial"/>
          <w:bCs/>
        </w:rPr>
        <w:t>Most Economically Advantageous</w:t>
      </w:r>
      <w:r w:rsidRPr="00AD2B35">
        <w:rPr>
          <w:rFonts w:cs="Arial"/>
        </w:rPr>
        <w:t xml:space="preserve"> </w:t>
      </w:r>
      <w:r w:rsidRPr="00AD2B35">
        <w:rPr>
          <w:rFonts w:cs="Arial"/>
          <w:bCs/>
        </w:rPr>
        <w:t xml:space="preserve">Tender (MEAT) assessment process.  </w:t>
      </w:r>
      <w:r>
        <w:rPr>
          <w:rFonts w:cs="Arial"/>
          <w:bCs/>
        </w:rPr>
        <w:t>The assessment process will be as follows:</w:t>
      </w:r>
    </w:p>
    <w:p w14:paraId="016C72B4" w14:textId="77777777" w:rsidR="002A67C5" w:rsidRPr="00AD2B35" w:rsidRDefault="002A67C5" w:rsidP="002A67C5">
      <w:pPr>
        <w:tabs>
          <w:tab w:val="left" w:pos="567"/>
        </w:tabs>
        <w:rPr>
          <w:rFonts w:cs="Arial"/>
          <w:iCs/>
        </w:rPr>
      </w:pPr>
    </w:p>
    <w:p w14:paraId="38790B2E" w14:textId="77777777" w:rsidR="002A67C5" w:rsidRDefault="002A67C5" w:rsidP="002A67C5">
      <w:pPr>
        <w:pStyle w:val="ListParagraph"/>
        <w:numPr>
          <w:ilvl w:val="0"/>
          <w:numId w:val="15"/>
        </w:numPr>
        <w:spacing w:line="360" w:lineRule="auto"/>
        <w:rPr>
          <w:rFonts w:cstheme="minorHAnsi"/>
          <w:bCs/>
        </w:rPr>
      </w:pPr>
      <w:r>
        <w:rPr>
          <w:rFonts w:cstheme="minorHAnsi"/>
          <w:bCs/>
        </w:rPr>
        <w:t>60% Cost - The tenderer with the lowest cost would be awarded the full 60% cost score. Other bids would be awarded a percentage score pro-rata to this using the following formula: Total Lowest Bid Cost/ Total Individual Bid Cost x 50 (rounded to two decimal places)</w:t>
      </w:r>
    </w:p>
    <w:p w14:paraId="16AEA880" w14:textId="77777777" w:rsidR="002A67C5" w:rsidRPr="00AD2B35" w:rsidRDefault="002A67C5" w:rsidP="002A67C5">
      <w:pPr>
        <w:pStyle w:val="ListParagraph"/>
        <w:numPr>
          <w:ilvl w:val="0"/>
          <w:numId w:val="15"/>
        </w:numPr>
        <w:rPr>
          <w:rFonts w:cs="Arial"/>
          <w:iCs/>
        </w:rPr>
      </w:pPr>
      <w:r>
        <w:rPr>
          <w:rFonts w:cstheme="minorHAnsi"/>
          <w:bCs/>
        </w:rPr>
        <w:t>40% Quality – specific questions aimed at establishing the ability to deliver to the required quality, social value, health and safety and environmental outcomes on the scheme.</w:t>
      </w:r>
    </w:p>
    <w:p w14:paraId="4582EBB3" w14:textId="77777777" w:rsidR="002A67C5" w:rsidRPr="00AD2B35" w:rsidRDefault="002A67C5" w:rsidP="002A67C5">
      <w:pPr>
        <w:pStyle w:val="ListParagraph"/>
        <w:rPr>
          <w:rFonts w:cs="Arial"/>
          <w:iCs/>
        </w:rPr>
      </w:pPr>
    </w:p>
    <w:p w14:paraId="510C435C" w14:textId="3C965E59" w:rsidR="002A67C5" w:rsidRDefault="002A67C5" w:rsidP="002A67C5">
      <w:pPr>
        <w:pStyle w:val="ListParagraph"/>
        <w:numPr>
          <w:ilvl w:val="0"/>
          <w:numId w:val="8"/>
        </w:numPr>
        <w:rPr>
          <w:rFonts w:cs="Arial"/>
          <w:iCs/>
        </w:rPr>
      </w:pPr>
      <w:r>
        <w:rPr>
          <w:rFonts w:cs="Arial"/>
          <w:iCs/>
        </w:rPr>
        <w:t>It is recognised that demonstrating and delivering social value and monitoring environmental impacts is a key element of the Contractor appointment, it is therefore proposed that as part of the quality submission the contractor will be requested to demonstrate the following:</w:t>
      </w:r>
    </w:p>
    <w:p w14:paraId="6FAE575E" w14:textId="22ACD7DD" w:rsidR="002A67C5" w:rsidRPr="002A67C5" w:rsidRDefault="002A67C5" w:rsidP="002A67C5">
      <w:pPr>
        <w:rPr>
          <w:rFonts w:cs="Arial"/>
          <w:iCs/>
        </w:rPr>
      </w:pPr>
      <w:r>
        <w:rPr>
          <w:noProof/>
        </w:rPr>
        <w:drawing>
          <wp:inline distT="0" distB="0" distL="0" distR="0" wp14:anchorId="5BE208DC" wp14:editId="2BFF2008">
            <wp:extent cx="5731510" cy="283721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837210"/>
                    </a:xfrm>
                    <a:prstGeom prst="rect">
                      <a:avLst/>
                    </a:prstGeom>
                  </pic:spPr>
                </pic:pic>
              </a:graphicData>
            </a:graphic>
          </wp:inline>
        </w:drawing>
      </w:r>
    </w:p>
    <w:p w14:paraId="6F8594B6" w14:textId="68DF8E36" w:rsidR="002A67C5" w:rsidRDefault="002A67C5" w:rsidP="002A67C5">
      <w:pPr>
        <w:pStyle w:val="ListParagraph"/>
        <w:numPr>
          <w:ilvl w:val="0"/>
          <w:numId w:val="8"/>
        </w:numPr>
        <w:tabs>
          <w:tab w:val="left" w:pos="567"/>
        </w:tabs>
        <w:rPr>
          <w:rFonts w:cs="Arial"/>
          <w:iCs/>
        </w:rPr>
      </w:pPr>
      <w:r w:rsidRPr="002A67C5">
        <w:rPr>
          <w:rFonts w:cs="Arial"/>
          <w:iCs/>
        </w:rPr>
        <w:lastRenderedPageBreak/>
        <w:t xml:space="preserve">The environmental benefit will be agreed through a series of key performance indicators such as waste diverted from landfill. </w:t>
      </w:r>
    </w:p>
    <w:p w14:paraId="635F9817" w14:textId="77777777" w:rsidR="002A67C5" w:rsidRDefault="002A67C5" w:rsidP="002A67C5">
      <w:pPr>
        <w:pStyle w:val="ListParagraph"/>
        <w:tabs>
          <w:tab w:val="left" w:pos="567"/>
        </w:tabs>
        <w:rPr>
          <w:rFonts w:cs="Arial"/>
          <w:iCs/>
        </w:rPr>
      </w:pPr>
    </w:p>
    <w:p w14:paraId="769FBAAE" w14:textId="77777777" w:rsidR="002A67C5" w:rsidRDefault="002A67C5" w:rsidP="002A67C5">
      <w:pPr>
        <w:pStyle w:val="ListParagraph"/>
        <w:numPr>
          <w:ilvl w:val="0"/>
          <w:numId w:val="8"/>
        </w:numPr>
        <w:tabs>
          <w:tab w:val="left" w:pos="567"/>
        </w:tabs>
        <w:rPr>
          <w:rFonts w:cs="Arial"/>
          <w:iCs/>
        </w:rPr>
      </w:pPr>
      <w:r>
        <w:rPr>
          <w:rFonts w:cs="Arial"/>
          <w:iCs/>
        </w:rPr>
        <w:t>The recommended procurement strategy for the appointment of a contractor to the deliver the McKenzie Arms development is summarised below.</w:t>
      </w:r>
    </w:p>
    <w:p w14:paraId="68C98CAF" w14:textId="77777777" w:rsidR="002A67C5" w:rsidRDefault="002A67C5" w:rsidP="002A67C5">
      <w:pPr>
        <w:pStyle w:val="ListParagraph"/>
        <w:tabs>
          <w:tab w:val="left" w:pos="567"/>
        </w:tabs>
        <w:rPr>
          <w:rFonts w:cs="Arial"/>
          <w:iCs/>
        </w:rPr>
      </w:pPr>
    </w:p>
    <w:tbl>
      <w:tblPr>
        <w:tblStyle w:val="TableGrid"/>
        <w:tblW w:w="0" w:type="auto"/>
        <w:tblLook w:val="04A0" w:firstRow="1" w:lastRow="0" w:firstColumn="1" w:lastColumn="0" w:noHBand="0" w:noVBand="1"/>
      </w:tblPr>
      <w:tblGrid>
        <w:gridCol w:w="2996"/>
        <w:gridCol w:w="3001"/>
        <w:gridCol w:w="3019"/>
      </w:tblGrid>
      <w:tr w:rsidR="002A67C5" w14:paraId="18B8B0AC" w14:textId="77777777" w:rsidTr="000F1048">
        <w:tc>
          <w:tcPr>
            <w:tcW w:w="3209" w:type="dxa"/>
          </w:tcPr>
          <w:p w14:paraId="17270FEF" w14:textId="77777777" w:rsidR="002A67C5" w:rsidRDefault="002A67C5" w:rsidP="000F1048">
            <w:pPr>
              <w:tabs>
                <w:tab w:val="left" w:pos="567"/>
              </w:tabs>
              <w:rPr>
                <w:rFonts w:cs="Arial"/>
                <w:iCs/>
              </w:rPr>
            </w:pPr>
            <w:r>
              <w:rPr>
                <w:rFonts w:cs="Arial"/>
                <w:iCs/>
              </w:rPr>
              <w:t>Delivery Approach</w:t>
            </w:r>
          </w:p>
        </w:tc>
        <w:tc>
          <w:tcPr>
            <w:tcW w:w="3209" w:type="dxa"/>
          </w:tcPr>
          <w:p w14:paraId="509B0F0D" w14:textId="77777777" w:rsidR="002A67C5" w:rsidRDefault="002A67C5" w:rsidP="000F1048">
            <w:pPr>
              <w:tabs>
                <w:tab w:val="left" w:pos="567"/>
              </w:tabs>
              <w:rPr>
                <w:rFonts w:cs="Arial"/>
                <w:iCs/>
              </w:rPr>
            </w:pPr>
            <w:r>
              <w:rPr>
                <w:rFonts w:cs="Arial"/>
                <w:iCs/>
              </w:rPr>
              <w:t xml:space="preserve">Tender Approach </w:t>
            </w:r>
          </w:p>
        </w:tc>
        <w:tc>
          <w:tcPr>
            <w:tcW w:w="3210" w:type="dxa"/>
          </w:tcPr>
          <w:p w14:paraId="679D4DA5" w14:textId="77777777" w:rsidR="002A67C5" w:rsidRDefault="002A67C5" w:rsidP="000F1048">
            <w:pPr>
              <w:tabs>
                <w:tab w:val="left" w:pos="567"/>
              </w:tabs>
              <w:rPr>
                <w:rFonts w:cs="Arial"/>
                <w:iCs/>
              </w:rPr>
            </w:pPr>
            <w:r>
              <w:rPr>
                <w:rFonts w:cs="Arial"/>
                <w:iCs/>
              </w:rPr>
              <w:t>Tendering Platform</w:t>
            </w:r>
          </w:p>
        </w:tc>
      </w:tr>
      <w:tr w:rsidR="002A67C5" w14:paraId="3396BE1E" w14:textId="77777777" w:rsidTr="000F1048">
        <w:tc>
          <w:tcPr>
            <w:tcW w:w="3209" w:type="dxa"/>
          </w:tcPr>
          <w:p w14:paraId="005E8863" w14:textId="77777777" w:rsidR="002A67C5" w:rsidRDefault="002A67C5" w:rsidP="000F1048">
            <w:pPr>
              <w:tabs>
                <w:tab w:val="left" w:pos="567"/>
              </w:tabs>
              <w:rPr>
                <w:rFonts w:cs="Arial"/>
                <w:iCs/>
              </w:rPr>
            </w:pPr>
            <w:r>
              <w:rPr>
                <w:rFonts w:cs="Arial"/>
                <w:iCs/>
              </w:rPr>
              <w:t>Design and Build</w:t>
            </w:r>
          </w:p>
        </w:tc>
        <w:tc>
          <w:tcPr>
            <w:tcW w:w="3209" w:type="dxa"/>
          </w:tcPr>
          <w:p w14:paraId="45A2DF88" w14:textId="77777777" w:rsidR="002A67C5" w:rsidRDefault="002A67C5" w:rsidP="000F1048">
            <w:pPr>
              <w:tabs>
                <w:tab w:val="left" w:pos="567"/>
              </w:tabs>
              <w:rPr>
                <w:rFonts w:cs="Arial"/>
                <w:iCs/>
              </w:rPr>
            </w:pPr>
            <w:r>
              <w:rPr>
                <w:rFonts w:cs="Arial"/>
                <w:iCs/>
              </w:rPr>
              <w:t>Single Stage (building in flexibility to allow two -stage if the market dictates this approach)</w:t>
            </w:r>
          </w:p>
        </w:tc>
        <w:tc>
          <w:tcPr>
            <w:tcW w:w="3210" w:type="dxa"/>
          </w:tcPr>
          <w:p w14:paraId="14664CA3" w14:textId="77777777" w:rsidR="002A67C5" w:rsidRDefault="002A67C5" w:rsidP="000F1048">
            <w:pPr>
              <w:tabs>
                <w:tab w:val="left" w:pos="567"/>
              </w:tabs>
              <w:rPr>
                <w:rFonts w:cs="Arial"/>
                <w:iCs/>
              </w:rPr>
            </w:pPr>
            <w:r>
              <w:rPr>
                <w:rFonts w:cs="Arial"/>
                <w:iCs/>
              </w:rPr>
              <w:t xml:space="preserve">Framework. Chosen framework to include contractors who specialise in modular and </w:t>
            </w:r>
            <w:proofErr w:type="spellStart"/>
            <w:r>
              <w:rPr>
                <w:rFonts w:cs="Arial"/>
                <w:iCs/>
              </w:rPr>
              <w:t>passivhaus</w:t>
            </w:r>
            <w:proofErr w:type="spellEnd"/>
            <w:r>
              <w:rPr>
                <w:rFonts w:cs="Arial"/>
                <w:iCs/>
              </w:rPr>
              <w:t xml:space="preserve"> build.</w:t>
            </w:r>
          </w:p>
        </w:tc>
      </w:tr>
    </w:tbl>
    <w:p w14:paraId="39084184" w14:textId="3CE18262" w:rsidR="002A67C5" w:rsidRDefault="002A67C5" w:rsidP="002A67C5">
      <w:pPr>
        <w:tabs>
          <w:tab w:val="left" w:pos="567"/>
        </w:tabs>
        <w:rPr>
          <w:rFonts w:cs="Arial"/>
          <w:iCs/>
        </w:rPr>
      </w:pPr>
    </w:p>
    <w:p w14:paraId="3253D174" w14:textId="3A4E811A" w:rsidR="002A67C5" w:rsidRPr="002A67C5" w:rsidRDefault="002A67C5" w:rsidP="002A67C5">
      <w:pPr>
        <w:tabs>
          <w:tab w:val="left" w:pos="567"/>
        </w:tabs>
        <w:rPr>
          <w:rFonts w:cs="Arial"/>
          <w:b/>
          <w:bCs/>
          <w:iCs/>
        </w:rPr>
      </w:pPr>
      <w:r w:rsidRPr="002A67C5">
        <w:rPr>
          <w:rFonts w:cs="Arial"/>
          <w:b/>
          <w:bCs/>
          <w:iCs/>
        </w:rPr>
        <w:t>Programme</w:t>
      </w:r>
    </w:p>
    <w:p w14:paraId="0462619C" w14:textId="51AEE058" w:rsidR="002A67C5" w:rsidRDefault="002A67C5" w:rsidP="002A67C5">
      <w:pPr>
        <w:pStyle w:val="ListParagraph"/>
        <w:numPr>
          <w:ilvl w:val="0"/>
          <w:numId w:val="8"/>
        </w:numPr>
        <w:tabs>
          <w:tab w:val="left" w:pos="567"/>
        </w:tabs>
        <w:rPr>
          <w:rFonts w:cs="Arial"/>
          <w:bCs/>
        </w:rPr>
      </w:pPr>
      <w:r w:rsidRPr="004346DD">
        <w:rPr>
          <w:rFonts w:cs="Arial"/>
          <w:bCs/>
        </w:rPr>
        <w:t xml:space="preserve">The tendering programme has been developed to allow a commencement on site in July 2021. </w:t>
      </w:r>
      <w:r>
        <w:rPr>
          <w:rFonts w:cs="Arial"/>
          <w:bCs/>
        </w:rPr>
        <w:t>The key activities and milestones are set out below:</w:t>
      </w:r>
    </w:p>
    <w:tbl>
      <w:tblPr>
        <w:tblStyle w:val="TableGrid"/>
        <w:tblW w:w="0" w:type="auto"/>
        <w:tblLook w:val="04A0" w:firstRow="1" w:lastRow="0" w:firstColumn="1" w:lastColumn="0" w:noHBand="0" w:noVBand="1"/>
      </w:tblPr>
      <w:tblGrid>
        <w:gridCol w:w="4551"/>
        <w:gridCol w:w="4465"/>
      </w:tblGrid>
      <w:tr w:rsidR="002A67C5" w14:paraId="47C95B06" w14:textId="77777777" w:rsidTr="000F1048">
        <w:tc>
          <w:tcPr>
            <w:tcW w:w="4814" w:type="dxa"/>
          </w:tcPr>
          <w:p w14:paraId="4D47503F" w14:textId="77777777" w:rsidR="002A67C5" w:rsidRDefault="002A67C5" w:rsidP="000F1048">
            <w:pPr>
              <w:tabs>
                <w:tab w:val="left" w:pos="567"/>
              </w:tabs>
              <w:rPr>
                <w:rFonts w:cs="Arial"/>
                <w:bCs/>
              </w:rPr>
            </w:pPr>
            <w:r>
              <w:rPr>
                <w:rFonts w:cs="Arial"/>
                <w:bCs/>
              </w:rPr>
              <w:t xml:space="preserve">Activity </w:t>
            </w:r>
          </w:p>
        </w:tc>
        <w:tc>
          <w:tcPr>
            <w:tcW w:w="4814" w:type="dxa"/>
          </w:tcPr>
          <w:p w14:paraId="43DE7207" w14:textId="77777777" w:rsidR="002A67C5" w:rsidRDefault="002A67C5" w:rsidP="000F1048">
            <w:pPr>
              <w:tabs>
                <w:tab w:val="left" w:pos="567"/>
              </w:tabs>
              <w:rPr>
                <w:rFonts w:cs="Arial"/>
                <w:bCs/>
              </w:rPr>
            </w:pPr>
            <w:r>
              <w:rPr>
                <w:rFonts w:cs="Arial"/>
                <w:bCs/>
              </w:rPr>
              <w:t>Milestone</w:t>
            </w:r>
          </w:p>
        </w:tc>
      </w:tr>
      <w:tr w:rsidR="002A67C5" w14:paraId="3102DA4F" w14:textId="77777777" w:rsidTr="000F1048">
        <w:tc>
          <w:tcPr>
            <w:tcW w:w="4814" w:type="dxa"/>
          </w:tcPr>
          <w:p w14:paraId="12B5BEEA" w14:textId="77777777" w:rsidR="002A67C5" w:rsidRDefault="002A67C5" w:rsidP="000F1048">
            <w:pPr>
              <w:tabs>
                <w:tab w:val="left" w:pos="567"/>
              </w:tabs>
              <w:rPr>
                <w:rFonts w:cs="Arial"/>
                <w:bCs/>
              </w:rPr>
            </w:pPr>
            <w:r>
              <w:rPr>
                <w:rFonts w:cs="Arial"/>
                <w:bCs/>
              </w:rPr>
              <w:t xml:space="preserve">Develop design and tender documentation </w:t>
            </w:r>
          </w:p>
        </w:tc>
        <w:tc>
          <w:tcPr>
            <w:tcW w:w="4814" w:type="dxa"/>
          </w:tcPr>
          <w:p w14:paraId="6169C04B" w14:textId="77777777" w:rsidR="002A67C5" w:rsidRDefault="002A67C5" w:rsidP="000F1048">
            <w:pPr>
              <w:tabs>
                <w:tab w:val="left" w:pos="567"/>
              </w:tabs>
              <w:rPr>
                <w:rFonts w:cs="Arial"/>
                <w:bCs/>
              </w:rPr>
            </w:pPr>
            <w:r>
              <w:rPr>
                <w:rFonts w:cs="Arial"/>
                <w:bCs/>
              </w:rPr>
              <w:t>05 March 2021</w:t>
            </w:r>
          </w:p>
        </w:tc>
      </w:tr>
      <w:tr w:rsidR="002A67C5" w14:paraId="603817BF" w14:textId="77777777" w:rsidTr="000F1048">
        <w:tc>
          <w:tcPr>
            <w:tcW w:w="4814" w:type="dxa"/>
          </w:tcPr>
          <w:p w14:paraId="557DD31A" w14:textId="77777777" w:rsidR="002A67C5" w:rsidRDefault="002A67C5" w:rsidP="000F1048">
            <w:pPr>
              <w:tabs>
                <w:tab w:val="left" w:pos="567"/>
              </w:tabs>
              <w:rPr>
                <w:rFonts w:cs="Arial"/>
                <w:bCs/>
              </w:rPr>
            </w:pPr>
            <w:r>
              <w:rPr>
                <w:rFonts w:cs="Arial"/>
                <w:bCs/>
              </w:rPr>
              <w:t>Tendering Period</w:t>
            </w:r>
          </w:p>
        </w:tc>
        <w:tc>
          <w:tcPr>
            <w:tcW w:w="4814" w:type="dxa"/>
          </w:tcPr>
          <w:p w14:paraId="57187472" w14:textId="77777777" w:rsidR="002A67C5" w:rsidRDefault="002A67C5" w:rsidP="000F1048">
            <w:pPr>
              <w:tabs>
                <w:tab w:val="left" w:pos="567"/>
              </w:tabs>
              <w:rPr>
                <w:rFonts w:cs="Arial"/>
                <w:bCs/>
              </w:rPr>
            </w:pPr>
            <w:r>
              <w:rPr>
                <w:rFonts w:cs="Arial"/>
                <w:bCs/>
              </w:rPr>
              <w:t>16 April 2021</w:t>
            </w:r>
          </w:p>
        </w:tc>
      </w:tr>
      <w:tr w:rsidR="002A67C5" w14:paraId="36C63009" w14:textId="77777777" w:rsidTr="000F1048">
        <w:tc>
          <w:tcPr>
            <w:tcW w:w="4814" w:type="dxa"/>
          </w:tcPr>
          <w:p w14:paraId="62F3EE86" w14:textId="77777777" w:rsidR="002A67C5" w:rsidRDefault="002A67C5" w:rsidP="000F1048">
            <w:pPr>
              <w:tabs>
                <w:tab w:val="left" w:pos="567"/>
              </w:tabs>
              <w:rPr>
                <w:rFonts w:cs="Arial"/>
                <w:bCs/>
              </w:rPr>
            </w:pPr>
            <w:r>
              <w:rPr>
                <w:rFonts w:cs="Arial"/>
                <w:bCs/>
              </w:rPr>
              <w:t>Tender Review and Recommendations</w:t>
            </w:r>
          </w:p>
        </w:tc>
        <w:tc>
          <w:tcPr>
            <w:tcW w:w="4814" w:type="dxa"/>
          </w:tcPr>
          <w:p w14:paraId="43127959" w14:textId="77777777" w:rsidR="002A67C5" w:rsidRDefault="002A67C5" w:rsidP="000F1048">
            <w:pPr>
              <w:tabs>
                <w:tab w:val="left" w:pos="567"/>
              </w:tabs>
              <w:rPr>
                <w:rFonts w:cs="Arial"/>
                <w:bCs/>
              </w:rPr>
            </w:pPr>
            <w:r>
              <w:rPr>
                <w:rFonts w:cs="Arial"/>
                <w:bCs/>
              </w:rPr>
              <w:t>30 April 2021</w:t>
            </w:r>
          </w:p>
        </w:tc>
      </w:tr>
      <w:tr w:rsidR="002A67C5" w14:paraId="4693C303" w14:textId="77777777" w:rsidTr="000F1048">
        <w:tc>
          <w:tcPr>
            <w:tcW w:w="4814" w:type="dxa"/>
          </w:tcPr>
          <w:p w14:paraId="6C2DA7E7" w14:textId="77777777" w:rsidR="002A67C5" w:rsidRDefault="002A67C5" w:rsidP="000F1048">
            <w:pPr>
              <w:tabs>
                <w:tab w:val="left" w:pos="567"/>
              </w:tabs>
              <w:rPr>
                <w:rFonts w:cs="Arial"/>
                <w:bCs/>
              </w:rPr>
            </w:pPr>
            <w:r>
              <w:rPr>
                <w:rFonts w:cs="Arial"/>
                <w:bCs/>
              </w:rPr>
              <w:t xml:space="preserve">Develop detailed Design with appointed Contractor </w:t>
            </w:r>
          </w:p>
        </w:tc>
        <w:tc>
          <w:tcPr>
            <w:tcW w:w="4814" w:type="dxa"/>
          </w:tcPr>
          <w:p w14:paraId="2E8F3291" w14:textId="77777777" w:rsidR="002A67C5" w:rsidRDefault="002A67C5" w:rsidP="000F1048">
            <w:pPr>
              <w:tabs>
                <w:tab w:val="left" w:pos="567"/>
              </w:tabs>
              <w:rPr>
                <w:rFonts w:cs="Arial"/>
                <w:bCs/>
              </w:rPr>
            </w:pPr>
            <w:r>
              <w:rPr>
                <w:rFonts w:cs="Arial"/>
                <w:bCs/>
              </w:rPr>
              <w:t>09 July 2021</w:t>
            </w:r>
          </w:p>
        </w:tc>
      </w:tr>
      <w:tr w:rsidR="002A67C5" w14:paraId="2095E059" w14:textId="77777777" w:rsidTr="000F1048">
        <w:tc>
          <w:tcPr>
            <w:tcW w:w="4814" w:type="dxa"/>
          </w:tcPr>
          <w:p w14:paraId="2DAD17DE" w14:textId="77777777" w:rsidR="002A67C5" w:rsidRDefault="002A67C5" w:rsidP="000F1048">
            <w:pPr>
              <w:tabs>
                <w:tab w:val="left" w:pos="567"/>
              </w:tabs>
              <w:rPr>
                <w:rFonts w:cs="Arial"/>
                <w:bCs/>
              </w:rPr>
            </w:pPr>
            <w:r>
              <w:rPr>
                <w:rFonts w:cs="Arial"/>
                <w:bCs/>
              </w:rPr>
              <w:t>Commence Construction on site</w:t>
            </w:r>
          </w:p>
        </w:tc>
        <w:tc>
          <w:tcPr>
            <w:tcW w:w="4814" w:type="dxa"/>
          </w:tcPr>
          <w:p w14:paraId="647967F4" w14:textId="77777777" w:rsidR="002A67C5" w:rsidRDefault="002A67C5" w:rsidP="000F1048">
            <w:pPr>
              <w:tabs>
                <w:tab w:val="left" w:pos="567"/>
              </w:tabs>
              <w:rPr>
                <w:rFonts w:cs="Arial"/>
                <w:bCs/>
              </w:rPr>
            </w:pPr>
            <w:r>
              <w:rPr>
                <w:rFonts w:cs="Arial"/>
                <w:bCs/>
              </w:rPr>
              <w:t>26 July 2021</w:t>
            </w:r>
          </w:p>
        </w:tc>
      </w:tr>
      <w:tr w:rsidR="002A67C5" w14:paraId="1E7CEC68" w14:textId="77777777" w:rsidTr="000F1048">
        <w:tc>
          <w:tcPr>
            <w:tcW w:w="4814" w:type="dxa"/>
          </w:tcPr>
          <w:p w14:paraId="30CC6E9B" w14:textId="77777777" w:rsidR="002A67C5" w:rsidRDefault="002A67C5" w:rsidP="000F1048">
            <w:pPr>
              <w:tabs>
                <w:tab w:val="left" w:pos="567"/>
              </w:tabs>
              <w:rPr>
                <w:rFonts w:cs="Arial"/>
                <w:bCs/>
              </w:rPr>
            </w:pPr>
            <w:r>
              <w:rPr>
                <w:rFonts w:cs="Arial"/>
                <w:bCs/>
              </w:rPr>
              <w:t>Works Completion</w:t>
            </w:r>
          </w:p>
        </w:tc>
        <w:tc>
          <w:tcPr>
            <w:tcW w:w="4814" w:type="dxa"/>
          </w:tcPr>
          <w:p w14:paraId="2DBBF398" w14:textId="77777777" w:rsidR="002A67C5" w:rsidRDefault="002A67C5" w:rsidP="000F1048">
            <w:pPr>
              <w:tabs>
                <w:tab w:val="left" w:pos="567"/>
              </w:tabs>
              <w:rPr>
                <w:rFonts w:cs="Arial"/>
                <w:bCs/>
              </w:rPr>
            </w:pPr>
            <w:r>
              <w:rPr>
                <w:rFonts w:cs="Arial"/>
                <w:bCs/>
              </w:rPr>
              <w:t>25 March 2022</w:t>
            </w:r>
          </w:p>
        </w:tc>
      </w:tr>
    </w:tbl>
    <w:p w14:paraId="3986119F" w14:textId="77777777" w:rsidR="002A67C5" w:rsidRPr="004346DD" w:rsidRDefault="002A67C5" w:rsidP="002A67C5">
      <w:pPr>
        <w:tabs>
          <w:tab w:val="left" w:pos="567"/>
        </w:tabs>
        <w:rPr>
          <w:rFonts w:cs="Arial"/>
          <w:bCs/>
        </w:rPr>
      </w:pPr>
    </w:p>
    <w:p w14:paraId="2B642A9B" w14:textId="3CC3424B" w:rsidR="00B13D46" w:rsidRDefault="00B13D46" w:rsidP="002A67C5">
      <w:pPr>
        <w:pStyle w:val="ListParagraph"/>
        <w:tabs>
          <w:tab w:val="left" w:pos="567"/>
        </w:tabs>
        <w:rPr>
          <w:rFonts w:cs="Arial"/>
          <w:iCs/>
        </w:rPr>
      </w:pPr>
    </w:p>
    <w:p w14:paraId="29D303C0" w14:textId="77777777" w:rsidR="00B13D46" w:rsidRPr="002A67C5" w:rsidRDefault="00B13D46" w:rsidP="002A67C5">
      <w:pPr>
        <w:pStyle w:val="ListParagraph"/>
        <w:tabs>
          <w:tab w:val="left" w:pos="567"/>
        </w:tabs>
        <w:rPr>
          <w:rFonts w:cs="Arial"/>
          <w:iCs/>
        </w:rPr>
      </w:pPr>
    </w:p>
    <w:p w14:paraId="07C2A15B" w14:textId="77777777" w:rsidR="0010609E" w:rsidRPr="00CA04F3" w:rsidRDefault="0010609E" w:rsidP="002A67C5">
      <w:pPr>
        <w:spacing w:after="0" w:line="240" w:lineRule="auto"/>
        <w:ind w:left="720"/>
        <w:jc w:val="both"/>
        <w:rPr>
          <w:rFonts w:cstheme="minorHAnsi"/>
          <w:bCs/>
        </w:rPr>
      </w:pPr>
    </w:p>
    <w:p w14:paraId="0A5C96B9" w14:textId="46A01C6A" w:rsidR="00D4431F" w:rsidRDefault="006149F1" w:rsidP="00CA04F3">
      <w:pPr>
        <w:pStyle w:val="Heading2"/>
        <w:rPr>
          <w:rFonts w:asciiTheme="majorHAnsi" w:hAnsiTheme="majorHAnsi" w:cstheme="majorHAnsi"/>
          <w:sz w:val="22"/>
        </w:rPr>
      </w:pPr>
      <w:r w:rsidRPr="00CA04F3">
        <w:rPr>
          <w:rFonts w:asciiTheme="majorHAnsi" w:hAnsiTheme="majorHAnsi" w:cstheme="majorHAnsi"/>
          <w:sz w:val="22"/>
        </w:rPr>
        <w:t>Risk</w:t>
      </w:r>
      <w:r w:rsidR="00D4431F" w:rsidRPr="00CA04F3">
        <w:rPr>
          <w:rFonts w:asciiTheme="majorHAnsi" w:hAnsiTheme="majorHAnsi" w:cstheme="majorHAnsi"/>
          <w:sz w:val="22"/>
        </w:rPr>
        <w:t xml:space="preserve"> </w:t>
      </w:r>
    </w:p>
    <w:p w14:paraId="1F769457" w14:textId="1659C280" w:rsidR="00B13D46" w:rsidRPr="00B13D46" w:rsidRDefault="00B13D46" w:rsidP="00B13D46">
      <w:pPr>
        <w:pStyle w:val="Heading2"/>
        <w:rPr>
          <w:rFonts w:cstheme="minorHAnsi"/>
          <w:b w:val="0"/>
          <w:bCs w:val="0"/>
          <w:i/>
        </w:rPr>
      </w:pPr>
      <w:r>
        <w:rPr>
          <w:rFonts w:asciiTheme="majorHAnsi" w:hAnsiTheme="majorHAnsi" w:cstheme="majorHAnsi"/>
          <w:sz w:val="22"/>
        </w:rPr>
        <w:t xml:space="preserve">27. </w:t>
      </w:r>
      <w:r w:rsidRPr="00B13D46">
        <w:rPr>
          <w:rFonts w:asciiTheme="majorHAnsi" w:hAnsiTheme="majorHAnsi" w:cstheme="majorHAnsi"/>
          <w:b w:val="0"/>
          <w:bCs w:val="0"/>
          <w:sz w:val="22"/>
        </w:rPr>
        <w:t>See table below</w:t>
      </w:r>
    </w:p>
    <w:p w14:paraId="4C7F155A" w14:textId="77777777" w:rsidR="00B13D46" w:rsidRDefault="00B13D46" w:rsidP="00B13D46">
      <w:pPr>
        <w:spacing w:after="0" w:line="240" w:lineRule="auto"/>
        <w:jc w:val="both"/>
        <w:rPr>
          <w:rFonts w:cstheme="minorHAnsi"/>
          <w:bCs/>
          <w:i/>
        </w:rPr>
      </w:pPr>
    </w:p>
    <w:p w14:paraId="1F3C2488" w14:textId="4262FCA1" w:rsidR="006149F1" w:rsidRDefault="00DE7993" w:rsidP="00B13D46">
      <w:pPr>
        <w:spacing w:after="0" w:line="240" w:lineRule="auto"/>
        <w:jc w:val="both"/>
        <w:rPr>
          <w:rFonts w:asciiTheme="majorHAnsi" w:hAnsiTheme="majorHAnsi" w:cstheme="majorHAnsi"/>
        </w:rPr>
      </w:pPr>
      <w:r>
        <w:rPr>
          <w:rFonts w:cstheme="minorHAnsi"/>
          <w:b/>
          <w:bCs/>
          <w:i/>
          <w:noProof/>
        </w:rPr>
        <w:lastRenderedPageBreak/>
        <w:object w:dxaOrig="1440" w:dyaOrig="1440" w14:anchorId="6AACF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0.9pt;margin-top:-14.5pt;width:388.95pt;height:500.25pt;z-index:251658240;mso-wrap-edited:f;mso-width-percent:0;mso-height-percent:0;mso-position-horizontal-relative:text;mso-position-vertical-relative:text;mso-width-percent:0;mso-height-percent:0">
            <v:imagedata r:id="rId9" o:title=""/>
            <w10:wrap type="square" side="right"/>
          </v:shape>
          <o:OLEObject Type="Embed" ProgID="Excel.Sheet.12" ShapeID="_x0000_s1026" DrawAspect="Content" ObjectID="_1674459226" r:id="rId10"/>
        </w:object>
      </w:r>
      <w:r w:rsidR="006149F1" w:rsidRPr="00B13D46">
        <w:rPr>
          <w:rFonts w:asciiTheme="majorHAnsi" w:hAnsiTheme="majorHAnsi" w:cstheme="majorHAnsi"/>
          <w:b/>
          <w:bCs/>
        </w:rPr>
        <w:t>Air quality</w:t>
      </w:r>
      <w:r w:rsidR="006149F1" w:rsidRPr="00CA04F3">
        <w:rPr>
          <w:rFonts w:asciiTheme="majorHAnsi" w:hAnsiTheme="majorHAnsi" w:cstheme="majorHAnsi"/>
        </w:rPr>
        <w:t xml:space="preserve"> </w:t>
      </w:r>
      <w:r w:rsidR="006149F1" w:rsidRPr="00B13D46">
        <w:rPr>
          <w:rFonts w:asciiTheme="majorHAnsi" w:hAnsiTheme="majorHAnsi" w:cstheme="majorHAnsi"/>
          <w:b/>
          <w:bCs/>
        </w:rPr>
        <w:t>implications</w:t>
      </w:r>
      <w:r w:rsidR="00D4431F" w:rsidRPr="00CA04F3">
        <w:rPr>
          <w:rFonts w:asciiTheme="majorHAnsi" w:hAnsiTheme="majorHAnsi" w:cstheme="majorHAnsi"/>
        </w:rPr>
        <w:t xml:space="preserve"> </w:t>
      </w:r>
    </w:p>
    <w:p w14:paraId="6A828BA5" w14:textId="2D342D02" w:rsidR="00B13D46" w:rsidRDefault="00B13D46" w:rsidP="00B13D46">
      <w:pPr>
        <w:spacing w:after="0" w:line="240" w:lineRule="auto"/>
        <w:jc w:val="both"/>
        <w:rPr>
          <w:rFonts w:asciiTheme="majorHAnsi" w:hAnsiTheme="majorHAnsi" w:cstheme="majorHAnsi"/>
        </w:rPr>
      </w:pPr>
    </w:p>
    <w:p w14:paraId="29FEE79F" w14:textId="116E0033" w:rsidR="00B13D46" w:rsidRPr="00B13D46" w:rsidRDefault="00B13D46" w:rsidP="00B13D46">
      <w:pPr>
        <w:pStyle w:val="ListParagraph"/>
        <w:numPr>
          <w:ilvl w:val="0"/>
          <w:numId w:val="19"/>
        </w:numPr>
        <w:spacing w:line="254" w:lineRule="auto"/>
      </w:pPr>
      <w:r w:rsidRPr="00B13D46">
        <w:rPr>
          <w:rFonts w:cs="Arial"/>
        </w:rPr>
        <w:t>The proposed development site is located within an identified Air Quality Management Area (AQMA) but also presents a sustainable location close to Bamber Bridge centre offering existing alternative transport links.</w:t>
      </w:r>
    </w:p>
    <w:p w14:paraId="33087B61" w14:textId="77777777" w:rsidR="00B13D46" w:rsidRDefault="00B13D46" w:rsidP="00B13D46">
      <w:pPr>
        <w:pStyle w:val="ListParagraph"/>
        <w:ind w:left="1080"/>
      </w:pPr>
    </w:p>
    <w:p w14:paraId="45AF6710" w14:textId="644D4C35" w:rsidR="00B13D46" w:rsidRPr="00B13D46" w:rsidRDefault="00B13D46" w:rsidP="00B13D46">
      <w:pPr>
        <w:pStyle w:val="ListParagraph"/>
        <w:numPr>
          <w:ilvl w:val="0"/>
          <w:numId w:val="19"/>
        </w:numPr>
        <w:spacing w:after="0" w:line="240" w:lineRule="auto"/>
        <w:jc w:val="both"/>
        <w:rPr>
          <w:rFonts w:asciiTheme="majorHAnsi" w:hAnsiTheme="majorHAnsi" w:cstheme="majorHAnsi"/>
        </w:rPr>
      </w:pPr>
      <w:r w:rsidRPr="00B13D46">
        <w:rPr>
          <w:rFonts w:cs="Arial"/>
        </w:rPr>
        <w:t>Air Quality has been a material consideration throughout the planning process and an air quality assessment undertaken through consultation with the Councils Environmental Health department. Measures have been agreed through the planning process to address air quality concerns supported by Environmental Health</w:t>
      </w:r>
      <w:r>
        <w:rPr>
          <w:rFonts w:cs="Arial"/>
        </w:rPr>
        <w:t>.</w:t>
      </w:r>
    </w:p>
    <w:p w14:paraId="22234127" w14:textId="7345BB62" w:rsidR="00B13D46" w:rsidRDefault="00B13D46" w:rsidP="00B13D46">
      <w:pPr>
        <w:spacing w:after="0" w:line="240" w:lineRule="auto"/>
        <w:jc w:val="both"/>
        <w:rPr>
          <w:rFonts w:asciiTheme="majorHAnsi" w:hAnsiTheme="majorHAnsi" w:cstheme="majorHAnsi"/>
        </w:rPr>
      </w:pPr>
    </w:p>
    <w:p w14:paraId="55328DA5" w14:textId="0F70D447" w:rsidR="000B5666" w:rsidRDefault="000B5666" w:rsidP="00B13D46">
      <w:pPr>
        <w:spacing w:after="0" w:line="240" w:lineRule="auto"/>
        <w:jc w:val="both"/>
        <w:rPr>
          <w:rFonts w:asciiTheme="majorHAnsi" w:hAnsiTheme="majorHAnsi" w:cstheme="majorHAnsi"/>
        </w:rPr>
      </w:pPr>
    </w:p>
    <w:p w14:paraId="768C5964" w14:textId="77777777" w:rsidR="000B5666" w:rsidRPr="00B13D46" w:rsidRDefault="000B5666" w:rsidP="00B13D46">
      <w:pPr>
        <w:spacing w:after="0" w:line="240" w:lineRule="auto"/>
        <w:jc w:val="both"/>
        <w:rPr>
          <w:rFonts w:asciiTheme="majorHAnsi" w:hAnsiTheme="majorHAnsi" w:cstheme="majorHAnsi"/>
        </w:rPr>
      </w:pPr>
    </w:p>
    <w:p w14:paraId="2D734934" w14:textId="5C63EBAA" w:rsidR="00D4431F" w:rsidRPr="00CA04F3" w:rsidRDefault="006149F1" w:rsidP="00CA04F3">
      <w:pPr>
        <w:pStyle w:val="Heading2"/>
        <w:rPr>
          <w:rFonts w:asciiTheme="majorHAnsi" w:hAnsiTheme="majorHAnsi" w:cstheme="majorHAnsi"/>
          <w:sz w:val="22"/>
        </w:rPr>
      </w:pPr>
      <w:r w:rsidRPr="00CA04F3">
        <w:rPr>
          <w:rFonts w:asciiTheme="majorHAnsi" w:hAnsiTheme="majorHAnsi" w:cstheme="majorHAnsi"/>
          <w:sz w:val="22"/>
        </w:rPr>
        <w:lastRenderedPageBreak/>
        <w:t>Comments of the Statutory Finance Officer</w:t>
      </w:r>
    </w:p>
    <w:p w14:paraId="058D93E9" w14:textId="6C7C343A" w:rsidR="00B13D46" w:rsidRPr="00B13D46" w:rsidRDefault="00B13D46" w:rsidP="00B13D46">
      <w:pPr>
        <w:ind w:left="360"/>
        <w:rPr>
          <w:rFonts w:ascii="Calibri" w:hAnsi="Calibri"/>
        </w:rPr>
      </w:pPr>
      <w:r>
        <w:t>30.</w:t>
      </w:r>
      <w:r w:rsidRPr="00D56C96">
        <w:t>The proposed procurement route is to utilise an OJEU compliant framework, seeking fixed price bids on a single stage Design &amp; Build basis.</w:t>
      </w:r>
    </w:p>
    <w:p w14:paraId="1B112CFB" w14:textId="77777777" w:rsidR="00B13D46" w:rsidRPr="00D56C96" w:rsidRDefault="00B13D46" w:rsidP="00B13D46">
      <w:pPr>
        <w:ind w:firstLine="720"/>
      </w:pPr>
      <w:r w:rsidRPr="00D56C96">
        <w:t>This offers a number of benefits;</w:t>
      </w:r>
    </w:p>
    <w:p w14:paraId="374A554C" w14:textId="77777777" w:rsidR="00B13D46" w:rsidRPr="00D56C96" w:rsidRDefault="00B13D46" w:rsidP="00B13D46">
      <w:pPr>
        <w:pStyle w:val="ListParagraph"/>
        <w:numPr>
          <w:ilvl w:val="0"/>
          <w:numId w:val="20"/>
        </w:numPr>
        <w:spacing w:after="0" w:line="240" w:lineRule="auto"/>
        <w:contextualSpacing w:val="0"/>
        <w:rPr>
          <w:rFonts w:eastAsia="Times New Roman"/>
        </w:rPr>
      </w:pPr>
      <w:r w:rsidRPr="00D56C96">
        <w:rPr>
          <w:rFonts w:eastAsia="Times New Roman"/>
        </w:rPr>
        <w:t>Targets specialised contractors</w:t>
      </w:r>
    </w:p>
    <w:p w14:paraId="39B726B1" w14:textId="77777777" w:rsidR="00B13D46" w:rsidRPr="00D56C96" w:rsidRDefault="00B13D46" w:rsidP="00B13D46">
      <w:pPr>
        <w:pStyle w:val="ListParagraph"/>
        <w:numPr>
          <w:ilvl w:val="0"/>
          <w:numId w:val="20"/>
        </w:numPr>
        <w:spacing w:after="0" w:line="240" w:lineRule="auto"/>
        <w:contextualSpacing w:val="0"/>
        <w:rPr>
          <w:rFonts w:eastAsia="Times New Roman"/>
        </w:rPr>
      </w:pPr>
      <w:r w:rsidRPr="00D56C96">
        <w:rPr>
          <w:rFonts w:eastAsia="Times New Roman"/>
        </w:rPr>
        <w:t>Secures early appointment of a contractor</w:t>
      </w:r>
    </w:p>
    <w:p w14:paraId="42542539" w14:textId="77777777" w:rsidR="00B13D46" w:rsidRPr="00D56C96" w:rsidRDefault="00B13D46" w:rsidP="00B13D46">
      <w:pPr>
        <w:pStyle w:val="ListParagraph"/>
        <w:numPr>
          <w:ilvl w:val="0"/>
          <w:numId w:val="20"/>
        </w:numPr>
        <w:spacing w:after="0" w:line="240" w:lineRule="auto"/>
        <w:contextualSpacing w:val="0"/>
        <w:rPr>
          <w:rFonts w:eastAsia="Times New Roman"/>
        </w:rPr>
      </w:pPr>
      <w:r w:rsidRPr="00D56C96">
        <w:rPr>
          <w:rFonts w:eastAsia="Times New Roman"/>
        </w:rPr>
        <w:t>Mitigates financial risk for the Council</w:t>
      </w:r>
    </w:p>
    <w:p w14:paraId="3124DC24" w14:textId="77777777" w:rsidR="00B13D46" w:rsidRPr="00D56C96" w:rsidRDefault="00B13D46" w:rsidP="00B13D46">
      <w:pPr>
        <w:ind w:left="360"/>
      </w:pPr>
    </w:p>
    <w:p w14:paraId="6E1E2226" w14:textId="0947826B" w:rsidR="00B13D46" w:rsidRPr="00D56C96" w:rsidRDefault="00B13D46" w:rsidP="00B13D46">
      <w:pPr>
        <w:ind w:left="360"/>
      </w:pPr>
      <w:r>
        <w:t>31.</w:t>
      </w:r>
      <w:r w:rsidRPr="00D56C96">
        <w:t xml:space="preserve">The project will be managed via an External Project Manager who has undertaken to </w:t>
      </w:r>
      <w:r>
        <w:t xml:space="preserve"> </w:t>
      </w:r>
      <w:r w:rsidRPr="00D56C96">
        <w:t>ensure compliance with the Council’s Contract Procedure Rules.</w:t>
      </w:r>
    </w:p>
    <w:p w14:paraId="475A5941" w14:textId="5783CFC2" w:rsidR="00B13D46" w:rsidRPr="00D56C96" w:rsidRDefault="00B13D46" w:rsidP="00B13D46">
      <w:pPr>
        <w:pStyle w:val="ListParagraph"/>
        <w:numPr>
          <w:ilvl w:val="0"/>
          <w:numId w:val="21"/>
        </w:numPr>
      </w:pPr>
      <w:r w:rsidRPr="00D56C96">
        <w:t>This scheme is included in the Capital Programme, and once received, tenders will be assessed against the available budget.</w:t>
      </w:r>
    </w:p>
    <w:p w14:paraId="092CFBAA" w14:textId="3A70271E" w:rsidR="00D4431F" w:rsidRPr="00CA04F3" w:rsidRDefault="006149F1" w:rsidP="00CA04F3">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14:paraId="60D3C8AD" w14:textId="77777777" w:rsidR="00B13D46" w:rsidRPr="00D56C96" w:rsidRDefault="00B13D46" w:rsidP="00B13D46">
      <w:pPr>
        <w:pStyle w:val="ListParagraph"/>
        <w:numPr>
          <w:ilvl w:val="0"/>
          <w:numId w:val="21"/>
        </w:numPr>
        <w:tabs>
          <w:tab w:val="left" w:pos="567"/>
        </w:tabs>
        <w:rPr>
          <w:rFonts w:cs="Arial"/>
          <w:b/>
        </w:rPr>
      </w:pPr>
      <w:r>
        <w:rPr>
          <w:rFonts w:cs="Arial"/>
          <w:iCs/>
        </w:rPr>
        <w:t>The proposed procurement strategy is compliant with both legislation and the Council’s contract procedure rules. The report acknowledges that the proposal departs from the cabinet decision of September last year but provides detailed and cogent reasons for doing so, referencing the benefits of the strategy and compliance with desired council outcomes.</w:t>
      </w:r>
    </w:p>
    <w:p w14:paraId="37C68278" w14:textId="77777777" w:rsidR="00B13D46" w:rsidRPr="008C6ACB" w:rsidRDefault="00B13D46" w:rsidP="00B13D46">
      <w:pPr>
        <w:pStyle w:val="ListParagraph"/>
        <w:tabs>
          <w:tab w:val="left" w:pos="567"/>
        </w:tabs>
        <w:rPr>
          <w:rFonts w:cs="Arial"/>
          <w:b/>
        </w:rPr>
      </w:pPr>
    </w:p>
    <w:p w14:paraId="55880577" w14:textId="77777777" w:rsidR="00B13D46" w:rsidRPr="00D56C96" w:rsidRDefault="00B13D46" w:rsidP="00B13D46">
      <w:pPr>
        <w:pStyle w:val="ListParagraph"/>
        <w:numPr>
          <w:ilvl w:val="0"/>
          <w:numId w:val="21"/>
        </w:numPr>
        <w:tabs>
          <w:tab w:val="left" w:pos="567"/>
        </w:tabs>
        <w:rPr>
          <w:rFonts w:cs="Arial"/>
          <w:b/>
        </w:rPr>
      </w:pPr>
      <w:r>
        <w:rPr>
          <w:rFonts w:cs="Arial"/>
          <w:iCs/>
        </w:rPr>
        <w:t xml:space="preserve">The proposed scoring split 60:40 </w:t>
      </w:r>
      <w:proofErr w:type="spellStart"/>
      <w:r>
        <w:rPr>
          <w:rFonts w:cs="Arial"/>
          <w:iCs/>
        </w:rPr>
        <w:t>cost:quality</w:t>
      </w:r>
      <w:proofErr w:type="spellEnd"/>
      <w:r>
        <w:rPr>
          <w:rFonts w:cs="Arial"/>
          <w:iCs/>
        </w:rPr>
        <w:t xml:space="preserve"> is appropriate given the proposal to use specialist contractors for the delivering of the </w:t>
      </w:r>
      <w:proofErr w:type="spellStart"/>
      <w:r>
        <w:rPr>
          <w:rFonts w:cs="Arial"/>
          <w:iCs/>
        </w:rPr>
        <w:t>passivehaus</w:t>
      </w:r>
      <w:proofErr w:type="spellEnd"/>
      <w:r>
        <w:rPr>
          <w:rFonts w:cs="Arial"/>
          <w:iCs/>
        </w:rPr>
        <w:t xml:space="preserve"> scheme.</w:t>
      </w:r>
    </w:p>
    <w:p w14:paraId="5E469832" w14:textId="77777777" w:rsidR="00B13D46" w:rsidRPr="00D56C96" w:rsidRDefault="00B13D46" w:rsidP="00B13D46">
      <w:pPr>
        <w:tabs>
          <w:tab w:val="left" w:pos="567"/>
        </w:tabs>
        <w:rPr>
          <w:rFonts w:cs="Arial"/>
          <w:b/>
        </w:rPr>
      </w:pPr>
    </w:p>
    <w:p w14:paraId="55499A91" w14:textId="77777777" w:rsidR="00B13D46" w:rsidRPr="00055702" w:rsidRDefault="00B13D46" w:rsidP="00B13D46">
      <w:pPr>
        <w:pStyle w:val="ListParagraph"/>
        <w:numPr>
          <w:ilvl w:val="0"/>
          <w:numId w:val="21"/>
        </w:numPr>
        <w:tabs>
          <w:tab w:val="left" w:pos="567"/>
        </w:tabs>
        <w:rPr>
          <w:rFonts w:cs="Arial"/>
          <w:b/>
        </w:rPr>
      </w:pPr>
      <w:r>
        <w:rPr>
          <w:rFonts w:cs="Arial"/>
          <w:iCs/>
        </w:rPr>
        <w:t>It should also be noted that social benefit and environmental impact are specifically referenced in the quality element and will be scored as part of the assessment of the bid.</w:t>
      </w:r>
    </w:p>
    <w:p w14:paraId="06247C47" w14:textId="51355599" w:rsidR="00D4431F" w:rsidRPr="00D4431F" w:rsidRDefault="005C459D" w:rsidP="00D4431F">
      <w:pPr>
        <w:spacing w:line="240" w:lineRule="auto"/>
        <w:jc w:val="both"/>
        <w:rPr>
          <w:rFonts w:asciiTheme="majorHAnsi" w:hAnsiTheme="majorHAnsi" w:cstheme="majorHAnsi"/>
          <w:bCs/>
        </w:rPr>
      </w:pPr>
      <w:r w:rsidRPr="00CA04F3">
        <w:rPr>
          <w:rStyle w:val="Heading2Char"/>
          <w:rFonts w:asciiTheme="majorHAnsi" w:eastAsiaTheme="minorHAnsi" w:hAnsiTheme="majorHAnsi" w:cstheme="majorHAnsi"/>
          <w:sz w:val="22"/>
        </w:rPr>
        <w:t>Background documents</w:t>
      </w:r>
      <w:r w:rsidR="00D4431F" w:rsidRPr="00CA04F3">
        <w:rPr>
          <w:rFonts w:asciiTheme="majorHAnsi" w:hAnsiTheme="majorHAnsi" w:cstheme="majorHAnsi"/>
          <w:bCs/>
          <w:sz w:val="14"/>
        </w:rPr>
        <w:t xml:space="preserve"> </w:t>
      </w:r>
    </w:p>
    <w:p w14:paraId="4AF287B0" w14:textId="30CBC7A7" w:rsidR="00A220F6" w:rsidRPr="00166427" w:rsidRDefault="00A220F6" w:rsidP="00A220F6">
      <w:pPr>
        <w:tabs>
          <w:tab w:val="left" w:pos="567"/>
        </w:tabs>
        <w:rPr>
          <w:iCs/>
        </w:rPr>
      </w:pPr>
      <w:r w:rsidRPr="00A220F6">
        <w:rPr>
          <w:rFonts w:cstheme="minorHAnsi"/>
          <w:bCs/>
          <w:iCs/>
        </w:rPr>
        <w:t>T</w:t>
      </w:r>
      <w:r w:rsidRPr="00166427">
        <w:rPr>
          <w:iCs/>
        </w:rPr>
        <w:t>here are no background papers to this report.</w:t>
      </w:r>
    </w:p>
    <w:p w14:paraId="0BA6D4CD" w14:textId="174C3073" w:rsidR="00D4431F" w:rsidRPr="00CA04F3" w:rsidRDefault="005C459D" w:rsidP="00CA04F3">
      <w:pPr>
        <w:pStyle w:val="Heading2"/>
        <w:rPr>
          <w:rFonts w:asciiTheme="majorHAnsi" w:hAnsiTheme="majorHAnsi" w:cstheme="majorHAnsi"/>
          <w:sz w:val="22"/>
        </w:rPr>
      </w:pPr>
      <w:r w:rsidRPr="00CA04F3">
        <w:rPr>
          <w:rFonts w:asciiTheme="majorHAnsi" w:hAnsiTheme="majorHAnsi" w:cstheme="majorHAnsi"/>
          <w:sz w:val="22"/>
        </w:rPr>
        <w:t>Appendices</w:t>
      </w:r>
    </w:p>
    <w:p w14:paraId="4CCE2A62" w14:textId="069AE65D" w:rsidR="00D4431F" w:rsidRDefault="00A220F6" w:rsidP="00D4431F">
      <w:pPr>
        <w:spacing w:line="240" w:lineRule="auto"/>
        <w:jc w:val="both"/>
        <w:rPr>
          <w:rFonts w:cstheme="minorHAnsi"/>
          <w:bCs/>
          <w:iCs/>
        </w:rPr>
      </w:pPr>
      <w:r w:rsidRPr="00A220F6">
        <w:rPr>
          <w:rFonts w:cstheme="minorHAnsi"/>
          <w:bCs/>
          <w:iCs/>
        </w:rPr>
        <w:t xml:space="preserve">n/a </w:t>
      </w:r>
    </w:p>
    <w:p w14:paraId="10090A7E" w14:textId="77777777" w:rsidR="00DE0986" w:rsidRDefault="00DE0986" w:rsidP="00DE0986">
      <w:pPr>
        <w:spacing w:after="0" w:line="240" w:lineRule="auto"/>
        <w:jc w:val="both"/>
        <w:rPr>
          <w:rFonts w:cstheme="minorHAnsi"/>
          <w:bCs/>
        </w:rPr>
      </w:pPr>
      <w:r>
        <w:rPr>
          <w:rFonts w:cstheme="minorHAnsi"/>
          <w:bCs/>
        </w:rPr>
        <w:t>Mark Lester</w:t>
      </w:r>
    </w:p>
    <w:p w14:paraId="7F8442F1" w14:textId="45E44FD3" w:rsidR="00DE0986" w:rsidRPr="00A220F6" w:rsidRDefault="00DE0986" w:rsidP="00DE0986">
      <w:pPr>
        <w:spacing w:line="240" w:lineRule="auto"/>
        <w:jc w:val="both"/>
        <w:rPr>
          <w:rFonts w:cstheme="minorHAnsi"/>
          <w:bCs/>
          <w:iCs/>
        </w:rPr>
      </w:pPr>
      <w:r>
        <w:rPr>
          <w:rFonts w:cstheme="minorHAnsi"/>
          <w:bCs/>
        </w:rPr>
        <w:t>Director of Commercial Services</w:t>
      </w:r>
    </w:p>
    <w:p w14:paraId="59F9B0EA" w14:textId="77777777" w:rsidR="00D4431F" w:rsidRPr="00D4431F" w:rsidRDefault="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3142"/>
        <w:gridCol w:w="1494"/>
        <w:gridCol w:w="1216"/>
      </w:tblGrid>
      <w:tr w:rsidR="00D4431F" w:rsidRPr="006149F1" w14:paraId="424F17D5" w14:textId="77777777" w:rsidTr="008E66FA">
        <w:tc>
          <w:tcPr>
            <w:tcW w:w="3856" w:type="dxa"/>
            <w:shd w:val="clear" w:color="auto" w:fill="auto"/>
          </w:tcPr>
          <w:p w14:paraId="5B04D454" w14:textId="642BE741" w:rsidR="00D4431F" w:rsidRPr="00D4431F" w:rsidRDefault="00D4431F" w:rsidP="00D4431F">
            <w:pPr>
              <w:spacing w:line="240" w:lineRule="auto"/>
              <w:jc w:val="both"/>
              <w:rPr>
                <w:rFonts w:cstheme="minorHAnsi"/>
                <w:bCs/>
              </w:rPr>
            </w:pPr>
            <w:r w:rsidRPr="00D4431F">
              <w:rPr>
                <w:rFonts w:cstheme="minorHAnsi"/>
                <w:bCs/>
              </w:rPr>
              <w:t>Report Author:</w:t>
            </w:r>
            <w:r w:rsidR="00A220F6">
              <w:rPr>
                <w:rFonts w:cs="Arial"/>
              </w:rPr>
              <w:t xml:space="preserve"> Rachel Salter</w:t>
            </w:r>
          </w:p>
        </w:tc>
        <w:tc>
          <w:tcPr>
            <w:tcW w:w="2835" w:type="dxa"/>
          </w:tcPr>
          <w:p w14:paraId="635273C1" w14:textId="0760ABC5" w:rsidR="00D4431F" w:rsidRPr="00D4431F" w:rsidRDefault="00D4431F" w:rsidP="00D4431F">
            <w:pPr>
              <w:spacing w:line="240" w:lineRule="auto"/>
              <w:jc w:val="both"/>
              <w:rPr>
                <w:rFonts w:cstheme="minorHAnsi"/>
                <w:bCs/>
              </w:rPr>
            </w:pPr>
            <w:r w:rsidRPr="00D4431F">
              <w:rPr>
                <w:rFonts w:cstheme="minorHAnsi"/>
                <w:bCs/>
              </w:rPr>
              <w:t>Email:</w:t>
            </w:r>
            <w:r w:rsidR="00A220F6">
              <w:rPr>
                <w:rFonts w:cs="Arial"/>
              </w:rPr>
              <w:t xml:space="preserve"> Rachel.salter@chorley.gov.uk</w:t>
            </w:r>
          </w:p>
        </w:tc>
        <w:tc>
          <w:tcPr>
            <w:tcW w:w="1560" w:type="dxa"/>
            <w:shd w:val="clear" w:color="auto" w:fill="auto"/>
          </w:tcPr>
          <w:p w14:paraId="6D2F99C3" w14:textId="6DBCEB3B" w:rsidR="00A220F6" w:rsidRPr="00D4431F" w:rsidRDefault="00D4431F" w:rsidP="00A220F6">
            <w:pPr>
              <w:spacing w:line="240" w:lineRule="auto"/>
              <w:jc w:val="both"/>
              <w:rPr>
                <w:rFonts w:cstheme="minorHAnsi"/>
                <w:bCs/>
              </w:rPr>
            </w:pPr>
            <w:r w:rsidRPr="00D4431F">
              <w:rPr>
                <w:rFonts w:cstheme="minorHAnsi"/>
                <w:bCs/>
              </w:rPr>
              <w:t>Telephone:</w:t>
            </w:r>
            <w:r w:rsidR="00A220F6">
              <w:rPr>
                <w:rFonts w:cs="Arial"/>
              </w:rPr>
              <w:t xml:space="preserve"> 01257 515 332</w:t>
            </w:r>
          </w:p>
        </w:tc>
        <w:tc>
          <w:tcPr>
            <w:tcW w:w="1269" w:type="dxa"/>
            <w:shd w:val="clear" w:color="auto" w:fill="auto"/>
          </w:tcPr>
          <w:p w14:paraId="562AC832" w14:textId="5A915C32" w:rsidR="00D4431F" w:rsidRPr="00D4431F" w:rsidRDefault="00D4431F" w:rsidP="00D4431F">
            <w:pPr>
              <w:spacing w:line="240" w:lineRule="auto"/>
              <w:jc w:val="both"/>
              <w:rPr>
                <w:rFonts w:cstheme="minorHAnsi"/>
                <w:bCs/>
              </w:rPr>
            </w:pPr>
            <w:r w:rsidRPr="00D4431F">
              <w:rPr>
                <w:rFonts w:cstheme="minorHAnsi"/>
                <w:bCs/>
              </w:rPr>
              <w:t>Date:</w:t>
            </w:r>
            <w:r w:rsidR="00A220F6">
              <w:rPr>
                <w:rFonts w:cs="Arial"/>
              </w:rPr>
              <w:t xml:space="preserve"> 19.01.21</w:t>
            </w:r>
          </w:p>
        </w:tc>
      </w:tr>
      <w:tr w:rsidR="00D4431F" w:rsidRPr="006149F1" w14:paraId="637B3838" w14:textId="77777777" w:rsidTr="008E66FA">
        <w:tc>
          <w:tcPr>
            <w:tcW w:w="3856" w:type="dxa"/>
            <w:shd w:val="clear" w:color="auto" w:fill="auto"/>
          </w:tcPr>
          <w:p w14:paraId="6F520EE8" w14:textId="132B7E59" w:rsidR="00D4431F" w:rsidRPr="00D4431F" w:rsidRDefault="00D4431F" w:rsidP="00DE0986">
            <w:pPr>
              <w:spacing w:after="0" w:line="240" w:lineRule="auto"/>
              <w:jc w:val="both"/>
              <w:rPr>
                <w:rFonts w:cstheme="minorHAnsi"/>
                <w:bCs/>
              </w:rPr>
            </w:pPr>
          </w:p>
        </w:tc>
        <w:tc>
          <w:tcPr>
            <w:tcW w:w="2835" w:type="dxa"/>
          </w:tcPr>
          <w:p w14:paraId="3A12D3E4" w14:textId="77777777" w:rsidR="00D4431F" w:rsidRPr="00D4431F" w:rsidRDefault="00D4431F" w:rsidP="00D4431F">
            <w:pPr>
              <w:spacing w:line="240" w:lineRule="auto"/>
              <w:jc w:val="both"/>
              <w:rPr>
                <w:rFonts w:cstheme="minorHAnsi"/>
                <w:bCs/>
              </w:rPr>
            </w:pPr>
          </w:p>
        </w:tc>
        <w:tc>
          <w:tcPr>
            <w:tcW w:w="1560" w:type="dxa"/>
            <w:shd w:val="clear" w:color="auto" w:fill="auto"/>
          </w:tcPr>
          <w:p w14:paraId="7F57A42C" w14:textId="0D75C98B" w:rsidR="00D4431F" w:rsidRPr="00D4431F" w:rsidRDefault="00D4431F" w:rsidP="00D4431F">
            <w:pPr>
              <w:spacing w:line="240" w:lineRule="auto"/>
              <w:jc w:val="both"/>
              <w:rPr>
                <w:rFonts w:cstheme="minorHAnsi"/>
                <w:bCs/>
              </w:rPr>
            </w:pPr>
          </w:p>
        </w:tc>
        <w:tc>
          <w:tcPr>
            <w:tcW w:w="1269" w:type="dxa"/>
            <w:shd w:val="clear" w:color="auto" w:fill="auto"/>
          </w:tcPr>
          <w:p w14:paraId="60421DB9" w14:textId="77777777" w:rsidR="00D4431F" w:rsidRPr="00D4431F" w:rsidRDefault="00D4431F" w:rsidP="00D4431F">
            <w:pPr>
              <w:spacing w:line="240" w:lineRule="auto"/>
              <w:jc w:val="both"/>
              <w:rPr>
                <w:rFonts w:cstheme="minorHAnsi"/>
                <w:bCs/>
              </w:rPr>
            </w:pPr>
          </w:p>
        </w:tc>
      </w:tr>
    </w:tbl>
    <w:p w14:paraId="4E3FB662" w14:textId="0713FAC2" w:rsidR="0025620C" w:rsidRPr="005C459D" w:rsidRDefault="0025620C">
      <w:pPr>
        <w:rPr>
          <w:rFonts w:cstheme="minorHAnsi"/>
          <w:bCs/>
          <w:color w:val="000000" w:themeColor="text1"/>
          <w:lang w:val="en-US"/>
        </w:rPr>
      </w:pPr>
    </w:p>
    <w:sectPr w:rsidR="0025620C" w:rsidRPr="005C459D" w:rsidSect="00D4431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D2334" w14:textId="77777777" w:rsidR="00267038" w:rsidRDefault="00267038" w:rsidP="003E3AB0">
      <w:pPr>
        <w:spacing w:after="0" w:line="240" w:lineRule="auto"/>
      </w:pPr>
      <w:r>
        <w:separator/>
      </w:r>
    </w:p>
  </w:endnote>
  <w:endnote w:type="continuationSeparator" w:id="0">
    <w:p w14:paraId="08C5410D" w14:textId="77777777" w:rsidR="00267038" w:rsidRDefault="00267038" w:rsidP="003E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49DE" w14:textId="3F01F56C" w:rsidR="003E3AB0" w:rsidRDefault="0041722B">
    <w:pPr>
      <w:pStyle w:val="Footer"/>
    </w:pPr>
    <w:r>
      <w:rPr>
        <w:noProof/>
        <w:lang w:eastAsia="en-GB"/>
      </w:rPr>
      <w:drawing>
        <wp:anchor distT="0" distB="0" distL="114300" distR="114300" simplePos="0" relativeHeight="251658240" behindDoc="1" locked="1" layoutInCell="1" allowOverlap="0" wp14:anchorId="30F6B8D3" wp14:editId="2ACD0349">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53D90" w14:textId="77777777" w:rsidR="00267038" w:rsidRDefault="00267038" w:rsidP="003E3AB0">
      <w:pPr>
        <w:spacing w:after="0" w:line="240" w:lineRule="auto"/>
      </w:pPr>
      <w:r>
        <w:separator/>
      </w:r>
    </w:p>
  </w:footnote>
  <w:footnote w:type="continuationSeparator" w:id="0">
    <w:p w14:paraId="3F4DFC3C" w14:textId="77777777" w:rsidR="00267038" w:rsidRDefault="00267038" w:rsidP="003E3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6C9"/>
    <w:multiLevelType w:val="hybridMultilevel"/>
    <w:tmpl w:val="3EB62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7E37B8"/>
    <w:multiLevelType w:val="hybridMultilevel"/>
    <w:tmpl w:val="EEB090E2"/>
    <w:lvl w:ilvl="0" w:tplc="B7B41042">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22ECD"/>
    <w:multiLevelType w:val="hybridMultilevel"/>
    <w:tmpl w:val="5906A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682B4B"/>
    <w:multiLevelType w:val="hybridMultilevel"/>
    <w:tmpl w:val="27D0AF2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 w15:restartNumberingAfterBreak="0">
    <w:nsid w:val="32622147"/>
    <w:multiLevelType w:val="hybridMultilevel"/>
    <w:tmpl w:val="911EC3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7C41C6"/>
    <w:multiLevelType w:val="hybridMultilevel"/>
    <w:tmpl w:val="EEB090E2"/>
    <w:lvl w:ilvl="0" w:tplc="B7B41042">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0324D4"/>
    <w:multiLevelType w:val="hybridMultilevel"/>
    <w:tmpl w:val="0CE2B5E6"/>
    <w:lvl w:ilvl="0" w:tplc="B88E969A">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BF0FDD"/>
    <w:multiLevelType w:val="hybridMultilevel"/>
    <w:tmpl w:val="7B0AA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430275"/>
    <w:multiLevelType w:val="hybridMultilevel"/>
    <w:tmpl w:val="F14A60A2"/>
    <w:lvl w:ilvl="0" w:tplc="08090001">
      <w:start w:val="1"/>
      <w:numFmt w:val="bullet"/>
      <w:lvlText w:val=""/>
      <w:lvlJc w:val="left"/>
      <w:pPr>
        <w:ind w:left="720" w:hanging="360"/>
      </w:pPr>
      <w:rPr>
        <w:rFonts w:ascii="Symbol" w:hAnsi="Symbol" w:hint="default"/>
        <w:b/>
        <w:i w:val="0"/>
        <w:color w:val="auto"/>
      </w:rPr>
    </w:lvl>
    <w:lvl w:ilvl="1" w:tplc="971C8FA2">
      <w:start w:val="1"/>
      <w:numFmt w:val="lowerLetter"/>
      <w:lvlText w:val="%2."/>
      <w:lvlJc w:val="left"/>
      <w:pPr>
        <w:ind w:left="1440" w:hanging="360"/>
      </w:pPr>
    </w:lvl>
    <w:lvl w:ilvl="2" w:tplc="BACA714C" w:tentative="1">
      <w:start w:val="1"/>
      <w:numFmt w:val="lowerRoman"/>
      <w:lvlText w:val="%3."/>
      <w:lvlJc w:val="right"/>
      <w:pPr>
        <w:ind w:left="2160" w:hanging="180"/>
      </w:pPr>
    </w:lvl>
    <w:lvl w:ilvl="3" w:tplc="EE4EDDC8" w:tentative="1">
      <w:start w:val="1"/>
      <w:numFmt w:val="decimal"/>
      <w:lvlText w:val="%4."/>
      <w:lvlJc w:val="left"/>
      <w:pPr>
        <w:ind w:left="2880" w:hanging="360"/>
      </w:pPr>
    </w:lvl>
    <w:lvl w:ilvl="4" w:tplc="DC067D96" w:tentative="1">
      <w:start w:val="1"/>
      <w:numFmt w:val="lowerLetter"/>
      <w:lvlText w:val="%5."/>
      <w:lvlJc w:val="left"/>
      <w:pPr>
        <w:ind w:left="3600" w:hanging="360"/>
      </w:pPr>
    </w:lvl>
    <w:lvl w:ilvl="5" w:tplc="56FEDD88" w:tentative="1">
      <w:start w:val="1"/>
      <w:numFmt w:val="lowerRoman"/>
      <w:lvlText w:val="%6."/>
      <w:lvlJc w:val="right"/>
      <w:pPr>
        <w:ind w:left="4320" w:hanging="180"/>
      </w:pPr>
    </w:lvl>
    <w:lvl w:ilvl="6" w:tplc="412C7EA0" w:tentative="1">
      <w:start w:val="1"/>
      <w:numFmt w:val="decimal"/>
      <w:lvlText w:val="%7."/>
      <w:lvlJc w:val="left"/>
      <w:pPr>
        <w:ind w:left="5040" w:hanging="360"/>
      </w:pPr>
    </w:lvl>
    <w:lvl w:ilvl="7" w:tplc="64324F34" w:tentative="1">
      <w:start w:val="1"/>
      <w:numFmt w:val="lowerLetter"/>
      <w:lvlText w:val="%8."/>
      <w:lvlJc w:val="left"/>
      <w:pPr>
        <w:ind w:left="5760" w:hanging="360"/>
      </w:pPr>
    </w:lvl>
    <w:lvl w:ilvl="8" w:tplc="032A9BC2" w:tentative="1">
      <w:start w:val="1"/>
      <w:numFmt w:val="lowerRoman"/>
      <w:lvlText w:val="%9."/>
      <w:lvlJc w:val="right"/>
      <w:pPr>
        <w:ind w:left="6480" w:hanging="180"/>
      </w:pPr>
    </w:lvl>
  </w:abstractNum>
  <w:abstractNum w:abstractNumId="9" w15:restartNumberingAfterBreak="0">
    <w:nsid w:val="53105E54"/>
    <w:multiLevelType w:val="hybridMultilevel"/>
    <w:tmpl w:val="7FB84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EC42E2"/>
    <w:multiLevelType w:val="hybridMultilevel"/>
    <w:tmpl w:val="37ECB20A"/>
    <w:lvl w:ilvl="0" w:tplc="FB6E5A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734B1"/>
    <w:multiLevelType w:val="hybridMultilevel"/>
    <w:tmpl w:val="59AC8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4D2CDE"/>
    <w:multiLevelType w:val="hybridMultilevel"/>
    <w:tmpl w:val="5B6827D0"/>
    <w:lvl w:ilvl="0" w:tplc="A9442948">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F00E5"/>
    <w:multiLevelType w:val="hybridMultilevel"/>
    <w:tmpl w:val="EEB090E2"/>
    <w:lvl w:ilvl="0" w:tplc="B7B41042">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7524EC"/>
    <w:multiLevelType w:val="hybridMultilevel"/>
    <w:tmpl w:val="C83AE318"/>
    <w:lvl w:ilvl="0" w:tplc="BAF6158C">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54FB5"/>
    <w:multiLevelType w:val="hybridMultilevel"/>
    <w:tmpl w:val="CFC09E26"/>
    <w:lvl w:ilvl="0" w:tplc="891EE398">
      <w:start w:val="28"/>
      <w:numFmt w:val="decimal"/>
      <w:lvlText w:val="%1."/>
      <w:lvlJc w:val="left"/>
      <w:pPr>
        <w:ind w:left="1080" w:hanging="360"/>
      </w:pPr>
      <w:rPr>
        <w:rFonts w:cs="Arial"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981066"/>
    <w:multiLevelType w:val="hybridMultilevel"/>
    <w:tmpl w:val="29A03522"/>
    <w:lvl w:ilvl="0" w:tplc="C5EC7534">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52C91"/>
    <w:multiLevelType w:val="hybridMultilevel"/>
    <w:tmpl w:val="4ECC45D2"/>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F57343"/>
    <w:multiLevelType w:val="hybridMultilevel"/>
    <w:tmpl w:val="EEB090E2"/>
    <w:lvl w:ilvl="0" w:tplc="B7B41042">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6872A1"/>
    <w:multiLevelType w:val="hybridMultilevel"/>
    <w:tmpl w:val="700E460A"/>
    <w:lvl w:ilvl="0" w:tplc="50542DC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2"/>
  </w:num>
  <w:num w:numId="4">
    <w:abstractNumId w:val="14"/>
  </w:num>
  <w:num w:numId="5">
    <w:abstractNumId w:val="10"/>
  </w:num>
  <w:num w:numId="6">
    <w:abstractNumId w:val="3"/>
  </w:num>
  <w:num w:numId="7">
    <w:abstractNumId w:val="6"/>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1"/>
  </w:num>
  <w:num w:numId="13">
    <w:abstractNumId w:val="4"/>
  </w:num>
  <w:num w:numId="14">
    <w:abstractNumId w:val="9"/>
  </w:num>
  <w:num w:numId="15">
    <w:abstractNumId w:val="7"/>
  </w:num>
  <w:num w:numId="16">
    <w:abstractNumId w:val="1"/>
  </w:num>
  <w:num w:numId="17">
    <w:abstractNumId w:val="5"/>
  </w:num>
  <w:num w:numId="18">
    <w:abstractNumId w:val="18"/>
  </w:num>
  <w:num w:numId="19">
    <w:abstractNumId w:val="15"/>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9071E"/>
    <w:rsid w:val="000A672E"/>
    <w:rsid w:val="000B5666"/>
    <w:rsid w:val="000F75CB"/>
    <w:rsid w:val="0010609E"/>
    <w:rsid w:val="00124F04"/>
    <w:rsid w:val="00126587"/>
    <w:rsid w:val="001751BF"/>
    <w:rsid w:val="001D2AE7"/>
    <w:rsid w:val="00210AEC"/>
    <w:rsid w:val="0025620C"/>
    <w:rsid w:val="00267038"/>
    <w:rsid w:val="00282A51"/>
    <w:rsid w:val="002A5BA0"/>
    <w:rsid w:val="002A67C5"/>
    <w:rsid w:val="00313FC0"/>
    <w:rsid w:val="00380522"/>
    <w:rsid w:val="003E3AB0"/>
    <w:rsid w:val="0041722B"/>
    <w:rsid w:val="004309DD"/>
    <w:rsid w:val="00457821"/>
    <w:rsid w:val="00462A1B"/>
    <w:rsid w:val="00483CC4"/>
    <w:rsid w:val="00510168"/>
    <w:rsid w:val="005C459D"/>
    <w:rsid w:val="005C5465"/>
    <w:rsid w:val="006149F1"/>
    <w:rsid w:val="00641609"/>
    <w:rsid w:val="006A7267"/>
    <w:rsid w:val="00706128"/>
    <w:rsid w:val="00774BC4"/>
    <w:rsid w:val="007D6A25"/>
    <w:rsid w:val="007E4749"/>
    <w:rsid w:val="0085583E"/>
    <w:rsid w:val="008A4C2F"/>
    <w:rsid w:val="009157BD"/>
    <w:rsid w:val="00974AB3"/>
    <w:rsid w:val="009D625C"/>
    <w:rsid w:val="00A0164F"/>
    <w:rsid w:val="00A220F6"/>
    <w:rsid w:val="00A356DB"/>
    <w:rsid w:val="00B13D46"/>
    <w:rsid w:val="00BA4438"/>
    <w:rsid w:val="00BC25D4"/>
    <w:rsid w:val="00C3676B"/>
    <w:rsid w:val="00CA04F3"/>
    <w:rsid w:val="00CF02E7"/>
    <w:rsid w:val="00D4431F"/>
    <w:rsid w:val="00DA4457"/>
    <w:rsid w:val="00DE0986"/>
    <w:rsid w:val="00DE7993"/>
    <w:rsid w:val="00DF7476"/>
    <w:rsid w:val="00EC0007"/>
    <w:rsid w:val="00EF02A8"/>
    <w:rsid w:val="00F60644"/>
    <w:rsid w:val="00F929C3"/>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4650">
      <w:bodyDiv w:val="1"/>
      <w:marLeft w:val="0"/>
      <w:marRight w:val="0"/>
      <w:marTop w:val="0"/>
      <w:marBottom w:val="0"/>
      <w:divBdr>
        <w:top w:val="none" w:sz="0" w:space="0" w:color="auto"/>
        <w:left w:val="none" w:sz="0" w:space="0" w:color="auto"/>
        <w:bottom w:val="none" w:sz="0" w:space="0" w:color="auto"/>
        <w:right w:val="none" w:sz="0" w:space="0" w:color="auto"/>
      </w:divBdr>
      <w:divsChild>
        <w:div w:id="839394494">
          <w:marLeft w:val="0"/>
          <w:marRight w:val="0"/>
          <w:marTop w:val="0"/>
          <w:marBottom w:val="0"/>
          <w:divBdr>
            <w:top w:val="none" w:sz="0" w:space="0" w:color="auto"/>
            <w:left w:val="none" w:sz="0" w:space="0" w:color="auto"/>
            <w:bottom w:val="none" w:sz="0" w:space="0" w:color="auto"/>
            <w:right w:val="none" w:sz="0" w:space="0" w:color="auto"/>
          </w:divBdr>
          <w:divsChild>
            <w:div w:id="1152260583">
              <w:marLeft w:val="0"/>
              <w:marRight w:val="0"/>
              <w:marTop w:val="0"/>
              <w:marBottom w:val="0"/>
              <w:divBdr>
                <w:top w:val="none" w:sz="0" w:space="0" w:color="auto"/>
                <w:left w:val="none" w:sz="0" w:space="0" w:color="auto"/>
                <w:bottom w:val="none" w:sz="0" w:space="0" w:color="auto"/>
                <w:right w:val="none" w:sz="0" w:space="0" w:color="auto"/>
              </w:divBdr>
              <w:divsChild>
                <w:div w:id="715662464">
                  <w:marLeft w:val="0"/>
                  <w:marRight w:val="0"/>
                  <w:marTop w:val="0"/>
                  <w:marBottom w:val="0"/>
                  <w:divBdr>
                    <w:top w:val="none" w:sz="0" w:space="0" w:color="auto"/>
                    <w:left w:val="none" w:sz="0" w:space="0" w:color="auto"/>
                    <w:bottom w:val="none" w:sz="0" w:space="0" w:color="auto"/>
                    <w:right w:val="none" w:sz="0" w:space="0" w:color="auto"/>
                  </w:divBdr>
                  <w:divsChild>
                    <w:div w:id="9586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963369">
      <w:bodyDiv w:val="1"/>
      <w:marLeft w:val="0"/>
      <w:marRight w:val="0"/>
      <w:marTop w:val="0"/>
      <w:marBottom w:val="0"/>
      <w:divBdr>
        <w:top w:val="none" w:sz="0" w:space="0" w:color="auto"/>
        <w:left w:val="none" w:sz="0" w:space="0" w:color="auto"/>
        <w:bottom w:val="none" w:sz="0" w:space="0" w:color="auto"/>
        <w:right w:val="none" w:sz="0" w:space="0" w:color="auto"/>
      </w:divBdr>
    </w:div>
    <w:div w:id="459302101">
      <w:bodyDiv w:val="1"/>
      <w:marLeft w:val="0"/>
      <w:marRight w:val="0"/>
      <w:marTop w:val="0"/>
      <w:marBottom w:val="0"/>
      <w:divBdr>
        <w:top w:val="none" w:sz="0" w:space="0" w:color="auto"/>
        <w:left w:val="none" w:sz="0" w:space="0" w:color="auto"/>
        <w:bottom w:val="none" w:sz="0" w:space="0" w:color="auto"/>
        <w:right w:val="none" w:sz="0" w:space="0" w:color="auto"/>
      </w:divBdr>
    </w:div>
    <w:div w:id="466556619">
      <w:bodyDiv w:val="1"/>
      <w:marLeft w:val="0"/>
      <w:marRight w:val="0"/>
      <w:marTop w:val="0"/>
      <w:marBottom w:val="0"/>
      <w:divBdr>
        <w:top w:val="none" w:sz="0" w:space="0" w:color="auto"/>
        <w:left w:val="none" w:sz="0" w:space="0" w:color="auto"/>
        <w:bottom w:val="none" w:sz="0" w:space="0" w:color="auto"/>
        <w:right w:val="none" w:sz="0" w:space="0" w:color="auto"/>
      </w:divBdr>
    </w:div>
    <w:div w:id="7281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533AF14-C546-410F-A813-5CBCB5B5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Gornall, Clare</cp:lastModifiedBy>
  <cp:revision>5</cp:revision>
  <cp:lastPrinted>2014-03-21T13:56:00Z</cp:lastPrinted>
  <dcterms:created xsi:type="dcterms:W3CDTF">2021-02-01T15:16:00Z</dcterms:created>
  <dcterms:modified xsi:type="dcterms:W3CDTF">2021-02-10T10:47:00Z</dcterms:modified>
</cp:coreProperties>
</file>