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410"/>
        <w:gridCol w:w="2551"/>
      </w:tblGrid>
      <w:tr w:rsidR="00491976" w:rsidRPr="00CB4164" w14:paraId="7976A164" w14:textId="77777777" w:rsidTr="00491976">
        <w:trPr>
          <w:gridAfter w:val="1"/>
          <w:wAfter w:w="2551" w:type="dxa"/>
          <w:cantSplit/>
          <w:trHeight w:val="569"/>
        </w:trPr>
        <w:tc>
          <w:tcPr>
            <w:tcW w:w="4928" w:type="dxa"/>
            <w:shd w:val="clear" w:color="auto" w:fill="BFBFBF"/>
            <w:vAlign w:val="center"/>
          </w:tcPr>
          <w:p w14:paraId="364EE7C4" w14:textId="77777777" w:rsidR="00491976" w:rsidRPr="00CB4164" w:rsidRDefault="0009466B" w:rsidP="00AC4A99">
            <w:pPr>
              <w:keepNext/>
              <w:shd w:val="clear" w:color="auto" w:fill="BFBFBF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B4164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0" allowOverlap="1" wp14:anchorId="13A26C96" wp14:editId="592C697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330960" cy="1105535"/>
                  <wp:effectExtent l="0" t="0" r="254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976" w:rsidRPr="00CB4164">
              <w:rPr>
                <w:rFonts w:cs="Arial"/>
                <w:b/>
                <w:sz w:val="24"/>
                <w:szCs w:val="24"/>
              </w:rPr>
              <w:t>REPORT TO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C1E1775" w14:textId="0355CDDC" w:rsidR="00491976" w:rsidRPr="00CB4164" w:rsidRDefault="00C95A17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491976" w:rsidRPr="00CB4164" w14:paraId="5AC5B28E" w14:textId="77777777" w:rsidTr="00491976">
        <w:trPr>
          <w:gridAfter w:val="1"/>
          <w:wAfter w:w="2551" w:type="dxa"/>
          <w:cantSplit/>
          <w:trHeight w:val="654"/>
        </w:trPr>
        <w:tc>
          <w:tcPr>
            <w:tcW w:w="4928" w:type="dxa"/>
            <w:tcBorders>
              <w:bottom w:val="nil"/>
            </w:tcBorders>
            <w:vAlign w:val="center"/>
          </w:tcPr>
          <w:p w14:paraId="571A7AE1" w14:textId="23D5ECCA" w:rsidR="00491976" w:rsidRPr="00E016EA" w:rsidRDefault="0022563F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Cabinet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DE8E5D4" w14:textId="0271D793" w:rsidR="00491976" w:rsidRPr="00CB4164" w:rsidRDefault="0022563F" w:rsidP="0049197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14/10/2020</w:t>
            </w:r>
          </w:p>
        </w:tc>
      </w:tr>
      <w:tr w:rsidR="00491976" w:rsidRPr="00CB4164" w14:paraId="1372B394" w14:textId="77777777" w:rsidTr="00491976">
        <w:trPr>
          <w:gridAfter w:val="1"/>
          <w:wAfter w:w="2551" w:type="dxa"/>
          <w:cantSplit/>
          <w:trHeight w:val="560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14:paraId="6D5FE8CB" w14:textId="77777777" w:rsidR="00491976" w:rsidRPr="00CB4164" w:rsidRDefault="00491976" w:rsidP="00407A09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491976" w:rsidRPr="00CB4164" w14:paraId="4CB468A5" w14:textId="77777777" w:rsidTr="00491976">
        <w:trPr>
          <w:cantSplit/>
        </w:trPr>
        <w:tc>
          <w:tcPr>
            <w:tcW w:w="4928" w:type="dxa"/>
            <w:shd w:val="clear" w:color="auto" w:fill="BFBFBF"/>
            <w:vAlign w:val="center"/>
          </w:tcPr>
          <w:p w14:paraId="325FE3BF" w14:textId="77777777" w:rsidR="00491976" w:rsidRPr="00CB4164" w:rsidRDefault="00491976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23B0EBF5" w14:textId="77777777" w:rsidR="00491976" w:rsidRPr="00CB4164" w:rsidRDefault="00491976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PORTFOLIO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5558DA1D" w14:textId="77777777" w:rsidR="00491976" w:rsidRPr="00CB4164" w:rsidRDefault="00E51F90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B4164">
              <w:rPr>
                <w:rFonts w:cs="Arial"/>
                <w:b/>
                <w:sz w:val="24"/>
                <w:szCs w:val="24"/>
              </w:rPr>
              <w:t>REP</w:t>
            </w:r>
            <w:r w:rsidR="00491976" w:rsidRPr="00CB4164">
              <w:rPr>
                <w:rFonts w:cs="Arial"/>
                <w:b/>
                <w:sz w:val="24"/>
                <w:szCs w:val="24"/>
              </w:rPr>
              <w:t>ORT OF</w:t>
            </w:r>
          </w:p>
        </w:tc>
      </w:tr>
      <w:tr w:rsidR="00491976" w:rsidRPr="00CB4164" w14:paraId="487D9E6D" w14:textId="77777777" w:rsidTr="00491976">
        <w:trPr>
          <w:cantSplit/>
          <w:trHeight w:val="667"/>
        </w:trPr>
        <w:tc>
          <w:tcPr>
            <w:tcW w:w="4928" w:type="dxa"/>
            <w:vAlign w:val="center"/>
          </w:tcPr>
          <w:p w14:paraId="3B3C0D09" w14:textId="3DA7BAF7" w:rsidR="00C95A17" w:rsidRPr="00E016EA" w:rsidRDefault="0022563F" w:rsidP="00392CE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Corporate Performance Framework Review</w:t>
            </w:r>
          </w:p>
        </w:tc>
        <w:tc>
          <w:tcPr>
            <w:tcW w:w="2410" w:type="dxa"/>
            <w:vAlign w:val="center"/>
          </w:tcPr>
          <w:p w14:paraId="09CCD51C" w14:textId="6C6349FF" w:rsidR="00491976" w:rsidRPr="00E016EA" w:rsidRDefault="00392CE8" w:rsidP="00392CE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Councillor Paul Foster</w:t>
            </w:r>
          </w:p>
        </w:tc>
        <w:tc>
          <w:tcPr>
            <w:tcW w:w="2551" w:type="dxa"/>
            <w:vAlign w:val="center"/>
          </w:tcPr>
          <w:p w14:paraId="1218478D" w14:textId="543F6166" w:rsidR="00491976" w:rsidRPr="00E016EA" w:rsidRDefault="00022188" w:rsidP="009E233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Victoria Willet</w:t>
            </w:r>
          </w:p>
        </w:tc>
      </w:tr>
    </w:tbl>
    <w:p w14:paraId="163389E7" w14:textId="77777777" w:rsidR="002F5C5E" w:rsidRPr="00CB4164" w:rsidRDefault="002F5C5E" w:rsidP="002F5C5E">
      <w:pPr>
        <w:rPr>
          <w:rFonts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2F5C5E" w:rsidRPr="00CB4164" w14:paraId="31DCDEA7" w14:textId="77777777" w:rsidTr="00E50A9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23E0F46" w14:textId="77777777" w:rsidR="002F5C5E" w:rsidRPr="00CB4164" w:rsidRDefault="002F5C5E" w:rsidP="00AC4A99">
            <w:pPr>
              <w:tabs>
                <w:tab w:val="left" w:pos="1055"/>
              </w:tabs>
              <w:rPr>
                <w:rFonts w:cs="Arial"/>
                <w:i/>
                <w:color w:val="2E74B5"/>
                <w:sz w:val="24"/>
                <w:szCs w:val="24"/>
              </w:rPr>
            </w:pPr>
          </w:p>
        </w:tc>
      </w:tr>
      <w:tr w:rsidR="002F5C5E" w:rsidRPr="00CB4164" w14:paraId="56A247AF" w14:textId="77777777" w:rsidTr="00AC4A99">
        <w:tc>
          <w:tcPr>
            <w:tcW w:w="6652" w:type="dxa"/>
            <w:shd w:val="clear" w:color="auto" w:fill="auto"/>
          </w:tcPr>
          <w:p w14:paraId="6ACFD04F" w14:textId="59FC75F9" w:rsidR="002F5C5E" w:rsidRPr="00CB4164" w:rsidRDefault="0003395B" w:rsidP="001E0D2A">
            <w:pPr>
              <w:tabs>
                <w:tab w:val="left" w:pos="915"/>
              </w:tabs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Is this report a key decision?  (i.e. more than £100,000 or a significant impact on more than 2 Borough wards)</w:t>
            </w:r>
            <w:r w:rsidR="001E0D2A" w:rsidRPr="00CB4164">
              <w:rPr>
                <w:rFonts w:cs="Arial"/>
                <w:sz w:val="24"/>
                <w:szCs w:val="24"/>
              </w:rPr>
              <w:tab/>
            </w:r>
          </w:p>
          <w:p w14:paraId="0CA8F6AF" w14:textId="77777777" w:rsidR="001E0D2A" w:rsidRPr="00CB4164" w:rsidRDefault="001E0D2A" w:rsidP="001E0D2A">
            <w:pPr>
              <w:tabs>
                <w:tab w:val="left" w:pos="915"/>
              </w:tabs>
              <w:rPr>
                <w:rFonts w:cs="Arial"/>
                <w:sz w:val="24"/>
                <w:szCs w:val="24"/>
              </w:rPr>
            </w:pPr>
          </w:p>
          <w:p w14:paraId="490C4EB9" w14:textId="77777777" w:rsidR="001E0D2A" w:rsidRPr="00CB4164" w:rsidRDefault="001E0D2A" w:rsidP="001E0D2A">
            <w:pPr>
              <w:tabs>
                <w:tab w:val="left" w:pos="915"/>
              </w:tabs>
              <w:rPr>
                <w:rFonts w:cs="Arial"/>
                <w:sz w:val="24"/>
                <w:szCs w:val="24"/>
              </w:rPr>
            </w:pPr>
          </w:p>
          <w:p w14:paraId="07CA9159" w14:textId="77777777" w:rsidR="00E50A9C" w:rsidRPr="00CB4164" w:rsidRDefault="00E50A9C" w:rsidP="00AC4A99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Is this report confidential?</w:t>
            </w:r>
          </w:p>
          <w:p w14:paraId="0136C978" w14:textId="77777777" w:rsidR="00BD2AFE" w:rsidRPr="00CB4164" w:rsidRDefault="00BD2AFE" w:rsidP="00AC4A99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i/>
                <w:color w:val="0070C0"/>
                <w:sz w:val="24"/>
                <w:szCs w:val="24"/>
              </w:rPr>
              <w:t xml:space="preserve">If </w:t>
            </w:r>
            <w:r w:rsidRPr="00CB4164">
              <w:rPr>
                <w:rFonts w:cs="Arial"/>
                <w:b/>
                <w:i/>
                <w:color w:val="0070C0"/>
                <w:sz w:val="24"/>
                <w:szCs w:val="24"/>
              </w:rPr>
              <w:t>Yes</w:t>
            </w:r>
            <w:r w:rsidRPr="00CB4164">
              <w:rPr>
                <w:rFonts w:cs="Arial"/>
                <w:i/>
                <w:color w:val="0070C0"/>
                <w:sz w:val="24"/>
                <w:szCs w:val="24"/>
              </w:rPr>
              <w:t>, insert details of the relevant exclusion paragraph(s).  These are listed in the Constitution Part 4, pag</w:t>
            </w:r>
            <w:r w:rsidR="00970C70" w:rsidRPr="00CB4164">
              <w:rPr>
                <w:rFonts w:cs="Arial"/>
                <w:i/>
                <w:color w:val="0070C0"/>
                <w:sz w:val="24"/>
                <w:szCs w:val="24"/>
              </w:rPr>
              <w:t xml:space="preserve">e 25 (Access to Information </w:t>
            </w:r>
            <w:r w:rsidRPr="00CB4164">
              <w:rPr>
                <w:rFonts w:cs="Arial"/>
                <w:i/>
                <w:color w:val="0070C0"/>
                <w:sz w:val="24"/>
                <w:szCs w:val="24"/>
              </w:rPr>
              <w:t>Procedure Rules)</w:t>
            </w:r>
          </w:p>
          <w:p w14:paraId="2DDBB4AC" w14:textId="77777777" w:rsidR="00BD2AFE" w:rsidRPr="00CB4164" w:rsidRDefault="00BD2AFE" w:rsidP="00AC4A9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9A67218" w14:textId="10328345" w:rsidR="002F5C5E" w:rsidRPr="0022563F" w:rsidRDefault="002F5C5E" w:rsidP="00AC4A99">
            <w:pPr>
              <w:rPr>
                <w:rFonts w:cs="Arial"/>
                <w:bCs/>
                <w:sz w:val="24"/>
                <w:szCs w:val="24"/>
              </w:rPr>
            </w:pPr>
            <w:r w:rsidRPr="0022563F">
              <w:rPr>
                <w:rFonts w:cs="Arial"/>
                <w:bCs/>
                <w:sz w:val="24"/>
                <w:szCs w:val="24"/>
              </w:rPr>
              <w:t>Yes</w:t>
            </w:r>
            <w:r w:rsidR="001E0D2A" w:rsidRPr="0022563F">
              <w:rPr>
                <w:rFonts w:cs="Arial"/>
                <w:bCs/>
                <w:sz w:val="24"/>
                <w:szCs w:val="24"/>
              </w:rPr>
              <w:t xml:space="preserve"> / </w:t>
            </w:r>
            <w:r w:rsidR="001E0D2A" w:rsidRPr="006E7972">
              <w:rPr>
                <w:rFonts w:cs="Arial"/>
                <w:b/>
                <w:sz w:val="24"/>
                <w:szCs w:val="24"/>
              </w:rPr>
              <w:t>No</w:t>
            </w:r>
            <w:r w:rsidRPr="006E7972">
              <w:rPr>
                <w:rFonts w:cs="Arial"/>
                <w:b/>
                <w:sz w:val="24"/>
                <w:szCs w:val="24"/>
              </w:rPr>
              <w:t xml:space="preserve">   </w:t>
            </w:r>
          </w:p>
          <w:p w14:paraId="4736E577" w14:textId="77777777" w:rsidR="0003395B" w:rsidRPr="0022563F" w:rsidRDefault="0003395B" w:rsidP="00AC4A99">
            <w:pPr>
              <w:rPr>
                <w:rFonts w:cs="Arial"/>
                <w:bCs/>
                <w:sz w:val="24"/>
                <w:szCs w:val="24"/>
              </w:rPr>
            </w:pPr>
          </w:p>
          <w:p w14:paraId="200DE3F8" w14:textId="77777777" w:rsidR="0003395B" w:rsidRPr="0022563F" w:rsidRDefault="0003395B" w:rsidP="00AC4A99">
            <w:pPr>
              <w:rPr>
                <w:rFonts w:cs="Arial"/>
                <w:bCs/>
                <w:sz w:val="24"/>
                <w:szCs w:val="24"/>
              </w:rPr>
            </w:pPr>
          </w:p>
          <w:p w14:paraId="4FEF5D7C" w14:textId="77777777" w:rsidR="0003395B" w:rsidRPr="0022563F" w:rsidRDefault="0003395B" w:rsidP="00AC4A99">
            <w:pPr>
              <w:rPr>
                <w:rFonts w:cs="Arial"/>
                <w:bCs/>
                <w:sz w:val="24"/>
                <w:szCs w:val="24"/>
              </w:rPr>
            </w:pPr>
          </w:p>
          <w:p w14:paraId="7FD6F67E" w14:textId="74BB3A94" w:rsidR="0003395B" w:rsidRPr="0022563F" w:rsidRDefault="0003395B" w:rsidP="00AC4A99">
            <w:pPr>
              <w:rPr>
                <w:rFonts w:cs="Arial"/>
                <w:bCs/>
                <w:sz w:val="24"/>
                <w:szCs w:val="24"/>
              </w:rPr>
            </w:pPr>
            <w:r w:rsidRPr="0022563F">
              <w:rPr>
                <w:rFonts w:cs="Arial"/>
                <w:bCs/>
                <w:sz w:val="24"/>
                <w:szCs w:val="24"/>
              </w:rPr>
              <w:t xml:space="preserve">Yes / </w:t>
            </w:r>
            <w:r w:rsidRPr="006E7972">
              <w:rPr>
                <w:rFonts w:cs="Arial"/>
                <w:b/>
                <w:sz w:val="24"/>
                <w:szCs w:val="24"/>
              </w:rPr>
              <w:t xml:space="preserve">No </w:t>
            </w:r>
          </w:p>
          <w:p w14:paraId="3FFFE288" w14:textId="77777777" w:rsidR="00594D09" w:rsidRPr="00CB4164" w:rsidRDefault="00594D09" w:rsidP="001E0D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ACFFA58" w14:textId="77777777" w:rsidR="002C71DE" w:rsidRPr="00CB4164" w:rsidRDefault="002C71DE" w:rsidP="00594D09">
      <w:pPr>
        <w:keepNext/>
        <w:outlineLvl w:val="0"/>
        <w:rPr>
          <w:rFonts w:cs="Arial"/>
          <w:b/>
          <w:sz w:val="24"/>
          <w:szCs w:val="24"/>
        </w:rPr>
      </w:pPr>
    </w:p>
    <w:p w14:paraId="07C3D644" w14:textId="77777777" w:rsidR="002C71DE" w:rsidRPr="00CB4164" w:rsidRDefault="002C71DE" w:rsidP="00594D09">
      <w:pPr>
        <w:keepNext/>
        <w:outlineLvl w:val="0"/>
        <w:rPr>
          <w:rFonts w:cs="Arial"/>
          <w:b/>
          <w:sz w:val="24"/>
          <w:szCs w:val="24"/>
        </w:rPr>
      </w:pPr>
    </w:p>
    <w:p w14:paraId="31FA597E" w14:textId="1D895CA7" w:rsidR="007A0801" w:rsidRPr="00CB4164" w:rsidRDefault="002F5C5E" w:rsidP="00594D09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PURPOSE OF THE REPORT </w:t>
      </w:r>
    </w:p>
    <w:p w14:paraId="45681FAF" w14:textId="32398372" w:rsidR="00A06A1C" w:rsidRPr="00022188" w:rsidRDefault="00A06A1C" w:rsidP="00A06A1C">
      <w:pPr>
        <w:rPr>
          <w:rFonts w:cs="Arial"/>
          <w:sz w:val="24"/>
          <w:szCs w:val="24"/>
          <w:lang w:val="en-US"/>
        </w:rPr>
      </w:pPr>
    </w:p>
    <w:p w14:paraId="238FAA43" w14:textId="5C8EE980" w:rsidR="002F5C5E" w:rsidRPr="00022188" w:rsidRDefault="00022188" w:rsidP="002114B2">
      <w:pPr>
        <w:pStyle w:val="ListParagraph"/>
        <w:keepNext/>
        <w:numPr>
          <w:ilvl w:val="0"/>
          <w:numId w:val="8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22188">
        <w:rPr>
          <w:rFonts w:ascii="Arial" w:hAnsi="Arial" w:cs="Arial"/>
          <w:sz w:val="24"/>
          <w:szCs w:val="24"/>
        </w:rPr>
        <w:t>To present the</w:t>
      </w:r>
      <w:r w:rsidR="0037779D">
        <w:rPr>
          <w:rFonts w:ascii="Arial" w:hAnsi="Arial" w:cs="Arial"/>
          <w:sz w:val="24"/>
          <w:szCs w:val="24"/>
        </w:rPr>
        <w:t xml:space="preserve"> </w:t>
      </w:r>
      <w:r w:rsidR="0092076D">
        <w:rPr>
          <w:rFonts w:ascii="Arial" w:hAnsi="Arial" w:cs="Arial"/>
          <w:sz w:val="24"/>
          <w:szCs w:val="24"/>
        </w:rPr>
        <w:t>revised</w:t>
      </w:r>
      <w:r w:rsidRPr="00022188">
        <w:rPr>
          <w:rFonts w:ascii="Arial" w:hAnsi="Arial" w:cs="Arial"/>
          <w:sz w:val="24"/>
          <w:szCs w:val="24"/>
        </w:rPr>
        <w:t xml:space="preserve"> Corporate Performance Framework </w:t>
      </w:r>
      <w:r>
        <w:rPr>
          <w:rFonts w:ascii="Arial" w:hAnsi="Arial" w:cs="Arial"/>
          <w:sz w:val="24"/>
          <w:szCs w:val="24"/>
        </w:rPr>
        <w:t xml:space="preserve">to Cabinet for approval. </w:t>
      </w:r>
    </w:p>
    <w:p w14:paraId="59838A9B" w14:textId="5521A54D" w:rsidR="002F5C5E" w:rsidRPr="00CB4164" w:rsidRDefault="002F5C5E" w:rsidP="002C71DE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RECOMMENDATIONS</w:t>
      </w:r>
    </w:p>
    <w:p w14:paraId="266933FA" w14:textId="77777777" w:rsidR="007A0801" w:rsidRPr="00CB4164" w:rsidRDefault="007A0801" w:rsidP="007A0801">
      <w:pPr>
        <w:keepNext/>
        <w:ind w:left="567"/>
        <w:outlineLvl w:val="0"/>
        <w:rPr>
          <w:rFonts w:cs="Arial"/>
          <w:b/>
          <w:sz w:val="24"/>
          <w:szCs w:val="24"/>
        </w:rPr>
      </w:pPr>
    </w:p>
    <w:p w14:paraId="51CA1FE1" w14:textId="4AC787A3" w:rsidR="002F5C5E" w:rsidRPr="008471A4" w:rsidRDefault="00022188" w:rsidP="002114B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color w:val="2E74B5" w:themeColor="accent1" w:themeShade="BF"/>
          <w:sz w:val="24"/>
          <w:szCs w:val="24"/>
        </w:rPr>
      </w:pPr>
      <w:r w:rsidRPr="008471A4">
        <w:rPr>
          <w:rFonts w:ascii="Arial" w:hAnsi="Arial" w:cs="Arial"/>
          <w:sz w:val="24"/>
          <w:szCs w:val="24"/>
          <w:lang w:val="en-US"/>
        </w:rPr>
        <w:t xml:space="preserve">It is recommended that Cabinet approve </w:t>
      </w:r>
      <w:r w:rsidR="008471A4" w:rsidRPr="008471A4">
        <w:rPr>
          <w:rFonts w:ascii="Arial" w:hAnsi="Arial" w:cs="Arial"/>
          <w:sz w:val="24"/>
          <w:szCs w:val="24"/>
          <w:lang w:val="en-US"/>
        </w:rPr>
        <w:t xml:space="preserve">the Corporate Performance Framework as a shared policy document. </w:t>
      </w:r>
    </w:p>
    <w:p w14:paraId="5235E476" w14:textId="77777777" w:rsidR="00BD2AFE" w:rsidRPr="00CB4164" w:rsidRDefault="00CC4337" w:rsidP="002C71DE">
      <w:pPr>
        <w:rPr>
          <w:rFonts w:cs="Arial"/>
          <w:b/>
          <w:color w:val="000000"/>
          <w:sz w:val="24"/>
          <w:szCs w:val="24"/>
        </w:rPr>
      </w:pPr>
      <w:r w:rsidRPr="00CB4164">
        <w:rPr>
          <w:rFonts w:cs="Arial"/>
          <w:b/>
          <w:color w:val="000000"/>
          <w:sz w:val="24"/>
          <w:szCs w:val="24"/>
        </w:rPr>
        <w:t>REASONS FOR THE DECISION</w:t>
      </w:r>
    </w:p>
    <w:p w14:paraId="788A6804" w14:textId="77777777" w:rsidR="007A0801" w:rsidRPr="002114B2" w:rsidRDefault="007A0801" w:rsidP="002114B2">
      <w:pPr>
        <w:ind w:left="567"/>
        <w:jc w:val="both"/>
        <w:rPr>
          <w:rFonts w:cs="Arial"/>
          <w:b/>
          <w:i/>
          <w:color w:val="2E74B5" w:themeColor="accent1" w:themeShade="BF"/>
          <w:sz w:val="24"/>
          <w:szCs w:val="24"/>
        </w:rPr>
      </w:pPr>
    </w:p>
    <w:p w14:paraId="607C6D8D" w14:textId="59E000BC" w:rsidR="002F5C5E" w:rsidRPr="002114B2" w:rsidRDefault="002114B2" w:rsidP="002F5C5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color w:val="2E74B5"/>
          <w:sz w:val="24"/>
          <w:szCs w:val="24"/>
        </w:rPr>
      </w:pPr>
      <w:r w:rsidRPr="002114B2">
        <w:rPr>
          <w:rFonts w:ascii="Arial" w:hAnsi="Arial" w:cs="Arial"/>
          <w:sz w:val="24"/>
          <w:szCs w:val="24"/>
        </w:rPr>
        <w:t>To ensure that we have up-to-date and robust approach to performance management that can consistently</w:t>
      </w:r>
      <w:r w:rsidR="0037779D">
        <w:rPr>
          <w:rFonts w:ascii="Arial" w:hAnsi="Arial" w:cs="Arial"/>
          <w:sz w:val="24"/>
          <w:szCs w:val="24"/>
        </w:rPr>
        <w:t xml:space="preserve"> and effectively</w:t>
      </w:r>
      <w:r w:rsidRPr="002114B2">
        <w:rPr>
          <w:rFonts w:ascii="Arial" w:hAnsi="Arial" w:cs="Arial"/>
          <w:sz w:val="24"/>
          <w:szCs w:val="24"/>
        </w:rPr>
        <w:t xml:space="preserve"> respond to the needs of each authority across shared services. </w:t>
      </w:r>
      <w:r w:rsidRPr="002114B2">
        <w:rPr>
          <w:rFonts w:ascii="Arial" w:hAnsi="Arial" w:cs="Arial"/>
          <w:bCs/>
          <w:sz w:val="24"/>
        </w:rPr>
        <w:t>Effective performance management is vital for improving outcomes for our communities as it provides a key mechanism for continuous service improvement</w:t>
      </w:r>
      <w:r w:rsidR="009710F4">
        <w:rPr>
          <w:rFonts w:ascii="Arial" w:hAnsi="Arial" w:cs="Arial"/>
          <w:bCs/>
          <w:sz w:val="24"/>
        </w:rPr>
        <w:t xml:space="preserve"> and excellence. </w:t>
      </w:r>
    </w:p>
    <w:p w14:paraId="2083A1B3" w14:textId="77777777" w:rsidR="0065176C" w:rsidRPr="00CB4164" w:rsidRDefault="002F5C5E" w:rsidP="002C71DE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EXECUTIVE SUMMARY</w:t>
      </w:r>
    </w:p>
    <w:p w14:paraId="74DF23F2" w14:textId="77777777" w:rsidR="00EF3B6C" w:rsidRPr="00CB4164" w:rsidRDefault="00EF3B6C" w:rsidP="00EF3B6C">
      <w:pPr>
        <w:keepNext/>
        <w:ind w:left="567"/>
        <w:outlineLvl w:val="0"/>
        <w:rPr>
          <w:rFonts w:cs="Arial"/>
          <w:b/>
          <w:sz w:val="24"/>
          <w:szCs w:val="24"/>
        </w:rPr>
      </w:pPr>
    </w:p>
    <w:p w14:paraId="65DCA4E4" w14:textId="65A85785" w:rsidR="008C04DA" w:rsidRDefault="009710F4" w:rsidP="0092076D">
      <w:pPr>
        <w:pStyle w:val="ListParagraph"/>
        <w:keepNext/>
        <w:numPr>
          <w:ilvl w:val="0"/>
          <w:numId w:val="8"/>
        </w:numPr>
        <w:jc w:val="both"/>
        <w:outlineLvl w:val="0"/>
        <w:rPr>
          <w:rFonts w:ascii="Arial" w:hAnsi="Arial" w:cs="Arial"/>
          <w:iCs/>
          <w:sz w:val="24"/>
          <w:szCs w:val="24"/>
          <w:lang w:val="en-US"/>
        </w:rPr>
      </w:pPr>
      <w:r w:rsidRPr="009B11A1">
        <w:rPr>
          <w:rFonts w:ascii="Arial" w:hAnsi="Arial" w:cs="Arial"/>
          <w:iCs/>
          <w:sz w:val="24"/>
          <w:szCs w:val="24"/>
          <w:lang w:val="en-US"/>
        </w:rPr>
        <w:t xml:space="preserve">This report outlines </w:t>
      </w:r>
      <w:r w:rsidR="00505DCD" w:rsidRPr="009B11A1">
        <w:rPr>
          <w:rFonts w:ascii="Arial" w:hAnsi="Arial" w:cs="Arial"/>
          <w:iCs/>
          <w:sz w:val="24"/>
          <w:szCs w:val="24"/>
          <w:lang w:val="en-US"/>
        </w:rPr>
        <w:t xml:space="preserve">the </w:t>
      </w:r>
      <w:r w:rsidR="009B11A1">
        <w:rPr>
          <w:rFonts w:ascii="Arial" w:hAnsi="Arial" w:cs="Arial"/>
          <w:iCs/>
          <w:sz w:val="24"/>
          <w:szCs w:val="24"/>
          <w:lang w:val="en-US"/>
        </w:rPr>
        <w:t>results</w:t>
      </w:r>
      <w:r w:rsidR="00505DCD" w:rsidRPr="009B11A1">
        <w:rPr>
          <w:rFonts w:ascii="Arial" w:hAnsi="Arial" w:cs="Arial"/>
          <w:iCs/>
          <w:sz w:val="24"/>
          <w:szCs w:val="24"/>
          <w:lang w:val="en-US"/>
        </w:rPr>
        <w:t xml:space="preserve"> of the Corporate Performance Framework </w:t>
      </w:r>
      <w:r w:rsidR="0092076D">
        <w:rPr>
          <w:rFonts w:ascii="Arial" w:hAnsi="Arial" w:cs="Arial"/>
          <w:iCs/>
          <w:sz w:val="24"/>
          <w:szCs w:val="24"/>
          <w:lang w:val="en-US"/>
        </w:rPr>
        <w:t>r</w:t>
      </w:r>
      <w:r w:rsidR="00505DCD" w:rsidRPr="009B11A1">
        <w:rPr>
          <w:rFonts w:ascii="Arial" w:hAnsi="Arial" w:cs="Arial"/>
          <w:iCs/>
          <w:sz w:val="24"/>
          <w:szCs w:val="24"/>
          <w:lang w:val="en-US"/>
        </w:rPr>
        <w:t>eview</w:t>
      </w:r>
      <w:r w:rsidR="007D3B93" w:rsidRPr="009B11A1">
        <w:rPr>
          <w:rFonts w:ascii="Arial" w:hAnsi="Arial" w:cs="Arial"/>
          <w:iCs/>
          <w:sz w:val="24"/>
          <w:szCs w:val="24"/>
          <w:lang w:val="en-US"/>
        </w:rPr>
        <w:t>.</w:t>
      </w:r>
      <w:r w:rsidR="009B11A1">
        <w:rPr>
          <w:rFonts w:ascii="Arial" w:hAnsi="Arial" w:cs="Arial"/>
          <w:iCs/>
          <w:sz w:val="24"/>
          <w:szCs w:val="24"/>
          <w:lang w:val="en-US"/>
        </w:rPr>
        <w:t xml:space="preserve"> This includes a</w:t>
      </w:r>
      <w:r w:rsidR="0092076D">
        <w:rPr>
          <w:rFonts w:ascii="Arial" w:hAnsi="Arial" w:cs="Arial"/>
          <w:iCs/>
          <w:sz w:val="24"/>
          <w:szCs w:val="24"/>
          <w:lang w:val="en-US"/>
        </w:rPr>
        <w:t>n</w:t>
      </w:r>
      <w:r w:rsidR="009B11A1">
        <w:rPr>
          <w:rFonts w:ascii="Arial" w:hAnsi="Arial" w:cs="Arial"/>
          <w:iCs/>
          <w:sz w:val="24"/>
          <w:szCs w:val="24"/>
          <w:lang w:val="en-US"/>
        </w:rPr>
        <w:t xml:space="preserve"> overview of the revised performance management policy as well as the proposed approach to its implementation.</w:t>
      </w:r>
      <w:r w:rsidR="001D0693">
        <w:rPr>
          <w:rFonts w:ascii="Arial" w:hAnsi="Arial" w:cs="Arial"/>
          <w:iCs/>
          <w:sz w:val="24"/>
          <w:szCs w:val="24"/>
          <w:lang w:val="en-US"/>
        </w:rPr>
        <w:t xml:space="preserve"> </w:t>
      </w:r>
    </w:p>
    <w:p w14:paraId="063270B9" w14:textId="77777777" w:rsidR="001D0693" w:rsidRPr="000B7CE7" w:rsidRDefault="001D0693" w:rsidP="001D0693">
      <w:pPr>
        <w:pStyle w:val="ListParagraph"/>
        <w:keepNext/>
        <w:ind w:left="1080"/>
        <w:jc w:val="both"/>
        <w:outlineLvl w:val="0"/>
        <w:rPr>
          <w:rFonts w:ascii="Arial" w:hAnsi="Arial" w:cs="Arial"/>
          <w:iCs/>
          <w:sz w:val="24"/>
          <w:szCs w:val="24"/>
          <w:lang w:val="en-US"/>
        </w:rPr>
      </w:pPr>
    </w:p>
    <w:p w14:paraId="5CAE9CC9" w14:textId="77777777" w:rsidR="008C04DA" w:rsidRPr="00CB4164" w:rsidRDefault="008C04DA" w:rsidP="002C71DE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CORPORATE </w:t>
      </w:r>
      <w:r w:rsidR="00681A31" w:rsidRPr="00CB4164">
        <w:rPr>
          <w:rFonts w:cs="Arial"/>
          <w:b/>
          <w:sz w:val="24"/>
          <w:szCs w:val="24"/>
        </w:rPr>
        <w:t>OUTCOMES</w:t>
      </w:r>
    </w:p>
    <w:p w14:paraId="31C1C2AE" w14:textId="77777777" w:rsidR="00911FD5" w:rsidRPr="00CB4164" w:rsidRDefault="00911FD5" w:rsidP="00911FD5">
      <w:pPr>
        <w:keepNext/>
        <w:ind w:left="567"/>
        <w:outlineLvl w:val="0"/>
        <w:rPr>
          <w:rFonts w:cs="Arial"/>
          <w:b/>
          <w:sz w:val="24"/>
          <w:szCs w:val="24"/>
        </w:rPr>
      </w:pPr>
    </w:p>
    <w:p w14:paraId="71566A1F" w14:textId="336998AF" w:rsidR="008C04DA" w:rsidRPr="00CB4164" w:rsidRDefault="008C04DA" w:rsidP="002C71DE">
      <w:pPr>
        <w:pStyle w:val="ListParagraph"/>
        <w:keepNext/>
        <w:numPr>
          <w:ilvl w:val="0"/>
          <w:numId w:val="8"/>
        </w:numPr>
        <w:outlineLvl w:val="0"/>
        <w:rPr>
          <w:rFonts w:ascii="Arial" w:hAnsi="Arial" w:cs="Arial"/>
          <w:i/>
          <w:color w:val="2E74B5"/>
          <w:sz w:val="24"/>
          <w:szCs w:val="24"/>
        </w:rPr>
      </w:pPr>
      <w:r w:rsidRPr="00CB4164">
        <w:rPr>
          <w:rFonts w:ascii="Arial" w:hAnsi="Arial" w:cs="Arial"/>
          <w:sz w:val="24"/>
          <w:szCs w:val="24"/>
        </w:rPr>
        <w:t xml:space="preserve">The report relates to the following corporate </w:t>
      </w:r>
      <w:r w:rsidR="00681A31" w:rsidRPr="00CB4164">
        <w:rPr>
          <w:rFonts w:ascii="Arial" w:hAnsi="Arial" w:cs="Arial"/>
          <w:sz w:val="24"/>
          <w:szCs w:val="24"/>
        </w:rPr>
        <w:t>outcomes</w:t>
      </w:r>
      <w:r w:rsidR="00970C70" w:rsidRPr="00CB4164">
        <w:rPr>
          <w:rFonts w:ascii="Arial" w:hAnsi="Arial" w:cs="Arial"/>
          <w:sz w:val="24"/>
          <w:szCs w:val="24"/>
        </w:rPr>
        <w:t>:</w:t>
      </w:r>
    </w:p>
    <w:p w14:paraId="1B320A18" w14:textId="77777777" w:rsidR="008C04DA" w:rsidRPr="00CB4164" w:rsidRDefault="008C04DA" w:rsidP="008C04DA">
      <w:pPr>
        <w:rPr>
          <w:rFonts w:cs="Arial"/>
          <w:sz w:val="24"/>
          <w:szCs w:val="24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0E5A3B" w:rsidRPr="00CB4164" w14:paraId="3189EF68" w14:textId="77777777" w:rsidTr="00022188">
        <w:tc>
          <w:tcPr>
            <w:tcW w:w="4423" w:type="dxa"/>
            <w:shd w:val="clear" w:color="auto" w:fill="auto"/>
          </w:tcPr>
          <w:p w14:paraId="69BA04AC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lastRenderedPageBreak/>
              <w:t>Excellence</w:t>
            </w:r>
            <w:r w:rsidR="00681A31" w:rsidRPr="00CB4164">
              <w:rPr>
                <w:rFonts w:cs="Arial"/>
                <w:sz w:val="24"/>
                <w:szCs w:val="24"/>
              </w:rPr>
              <w:t>, Investment</w:t>
            </w:r>
            <w:r w:rsidRPr="00CB4164">
              <w:rPr>
                <w:rFonts w:cs="Arial"/>
                <w:sz w:val="24"/>
                <w:szCs w:val="24"/>
              </w:rPr>
              <w:t xml:space="preserve"> and Financial Sustainability</w:t>
            </w:r>
          </w:p>
          <w:p w14:paraId="20521F0A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7D9356" w14:textId="1E8856E8" w:rsidR="000E5A3B" w:rsidRPr="00022188" w:rsidRDefault="00022188" w:rsidP="0002218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22188">
              <w:rPr>
                <w:rFonts w:cs="Arial"/>
                <w:b/>
                <w:bCs/>
                <w:sz w:val="32"/>
                <w:szCs w:val="32"/>
              </w:rPr>
              <w:t>x</w:t>
            </w:r>
          </w:p>
        </w:tc>
      </w:tr>
      <w:tr w:rsidR="000E5A3B" w:rsidRPr="00CB4164" w14:paraId="7810CA6F" w14:textId="77777777" w:rsidTr="000E5A3B">
        <w:tc>
          <w:tcPr>
            <w:tcW w:w="4423" w:type="dxa"/>
            <w:shd w:val="clear" w:color="auto" w:fill="auto"/>
          </w:tcPr>
          <w:p w14:paraId="13B24638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Health</w:t>
            </w:r>
            <w:r w:rsidR="00681A31" w:rsidRPr="00CB4164">
              <w:rPr>
                <w:rFonts w:cs="Arial"/>
                <w:sz w:val="24"/>
                <w:szCs w:val="24"/>
              </w:rPr>
              <w:t xml:space="preserve">, </w:t>
            </w:r>
            <w:r w:rsidRPr="00CB4164">
              <w:rPr>
                <w:rFonts w:cs="Arial"/>
                <w:sz w:val="24"/>
                <w:szCs w:val="24"/>
              </w:rPr>
              <w:t>Wellbeing</w:t>
            </w:r>
            <w:r w:rsidR="00681A31" w:rsidRPr="00CB4164">
              <w:rPr>
                <w:rFonts w:cs="Arial"/>
                <w:sz w:val="24"/>
                <w:szCs w:val="24"/>
              </w:rPr>
              <w:t xml:space="preserve"> and Leisure</w:t>
            </w:r>
          </w:p>
          <w:p w14:paraId="393C993A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CF1977" w14:textId="4277B940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</w:tr>
      <w:tr w:rsidR="000E5A3B" w:rsidRPr="00CB4164" w14:paraId="41D58BA6" w14:textId="77777777" w:rsidTr="000E5A3B">
        <w:tc>
          <w:tcPr>
            <w:tcW w:w="4423" w:type="dxa"/>
            <w:shd w:val="clear" w:color="auto" w:fill="auto"/>
          </w:tcPr>
          <w:p w14:paraId="37330D38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Place</w:t>
            </w:r>
            <w:r w:rsidR="00681A31" w:rsidRPr="00CB4164">
              <w:rPr>
                <w:rFonts w:cs="Arial"/>
                <w:sz w:val="24"/>
                <w:szCs w:val="24"/>
              </w:rPr>
              <w:t>, Homes and Environment</w:t>
            </w:r>
          </w:p>
          <w:p w14:paraId="3C8EF1CA" w14:textId="77777777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DEA10F" w14:textId="060AA39F" w:rsidR="000E5A3B" w:rsidRPr="00CB4164" w:rsidRDefault="000E5A3B" w:rsidP="00A975A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85B38EB" w14:textId="77777777" w:rsidR="002D4745" w:rsidRPr="00CB4164" w:rsidRDefault="002D4745">
      <w:pPr>
        <w:rPr>
          <w:rFonts w:cs="Arial"/>
          <w:sz w:val="24"/>
          <w:szCs w:val="24"/>
        </w:rPr>
      </w:pPr>
    </w:p>
    <w:p w14:paraId="1EA37281" w14:textId="77777777" w:rsidR="002D4745" w:rsidRPr="00CB4164" w:rsidRDefault="002D4745" w:rsidP="002D4745">
      <w:pPr>
        <w:ind w:firstLine="720"/>
        <w:rPr>
          <w:rFonts w:cs="Arial"/>
          <w:sz w:val="24"/>
          <w:szCs w:val="24"/>
        </w:rPr>
      </w:pPr>
      <w:r w:rsidRPr="00CB4164">
        <w:rPr>
          <w:rFonts w:cs="Arial"/>
          <w:sz w:val="24"/>
          <w:szCs w:val="24"/>
        </w:rPr>
        <w:t>Projects relating to People in the Corporate Plan:</w:t>
      </w:r>
    </w:p>
    <w:p w14:paraId="7F6C7E40" w14:textId="77777777" w:rsidR="002D4745" w:rsidRPr="00CB4164" w:rsidRDefault="002D4745" w:rsidP="002D4745">
      <w:pPr>
        <w:ind w:firstLine="720"/>
        <w:rPr>
          <w:rFonts w:cs="Arial"/>
          <w:sz w:val="24"/>
          <w:szCs w:val="24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2D4745" w:rsidRPr="00CB4164" w14:paraId="746AE4AB" w14:textId="77777777" w:rsidTr="000E5A3B">
        <w:tc>
          <w:tcPr>
            <w:tcW w:w="4423" w:type="dxa"/>
            <w:shd w:val="clear" w:color="auto" w:fill="auto"/>
          </w:tcPr>
          <w:p w14:paraId="003450B8" w14:textId="77777777" w:rsidR="002D4745" w:rsidRPr="00CB4164" w:rsidRDefault="00681A31" w:rsidP="00A975A7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 xml:space="preserve">Our </w:t>
            </w:r>
            <w:r w:rsidR="002D4745" w:rsidRPr="00CB4164">
              <w:rPr>
                <w:rFonts w:cs="Arial"/>
                <w:sz w:val="24"/>
                <w:szCs w:val="24"/>
              </w:rPr>
              <w:t xml:space="preserve">People </w:t>
            </w:r>
            <w:r w:rsidRPr="00CB4164">
              <w:rPr>
                <w:rFonts w:cs="Arial"/>
                <w:sz w:val="24"/>
                <w:szCs w:val="24"/>
              </w:rPr>
              <w:t>and Communities</w:t>
            </w:r>
          </w:p>
          <w:p w14:paraId="720952DF" w14:textId="77777777" w:rsidR="002D4745" w:rsidRPr="00CB4164" w:rsidRDefault="002D4745" w:rsidP="00A975A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BD1F69" w14:textId="6133B64B" w:rsidR="002D4745" w:rsidRPr="00CB4164" w:rsidRDefault="002D4745" w:rsidP="00A975A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3D3790B" w14:textId="77777777" w:rsidR="008C04DA" w:rsidRPr="00CB4164" w:rsidRDefault="008C04DA" w:rsidP="008C04DA">
      <w:pPr>
        <w:keepNext/>
        <w:ind w:left="360"/>
        <w:outlineLvl w:val="0"/>
        <w:rPr>
          <w:rFonts w:cs="Arial"/>
          <w:sz w:val="24"/>
          <w:szCs w:val="24"/>
        </w:rPr>
      </w:pPr>
    </w:p>
    <w:p w14:paraId="3986277F" w14:textId="1EE894E0" w:rsidR="0001721F" w:rsidRPr="00CB4164" w:rsidRDefault="002F5C5E" w:rsidP="00CB4164">
      <w:pPr>
        <w:keepNext/>
        <w:outlineLvl w:val="0"/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BACKGROUND TO THE REPORT</w:t>
      </w:r>
      <w:r w:rsidR="0001721F">
        <w:rPr>
          <w:rFonts w:cs="Arial"/>
          <w:b/>
          <w:sz w:val="24"/>
          <w:szCs w:val="24"/>
        </w:rPr>
        <w:t xml:space="preserve"> </w:t>
      </w:r>
    </w:p>
    <w:p w14:paraId="465B173C" w14:textId="77777777" w:rsidR="00561C4B" w:rsidRPr="0037779D" w:rsidRDefault="00561C4B" w:rsidP="0037779D">
      <w:pPr>
        <w:jc w:val="both"/>
        <w:rPr>
          <w:rFonts w:cs="Arial"/>
          <w:sz w:val="24"/>
          <w:szCs w:val="24"/>
          <w:lang w:val="en-US"/>
        </w:rPr>
      </w:pPr>
    </w:p>
    <w:p w14:paraId="01698D62" w14:textId="0F2146F5" w:rsidR="00936A5D" w:rsidRDefault="0001721F" w:rsidP="00017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01721F">
        <w:rPr>
          <w:rFonts w:ascii="Arial" w:hAnsi="Arial" w:cs="Arial"/>
          <w:sz w:val="24"/>
        </w:rPr>
        <w:t>The purpose of a performance framework is to provide staff with a straightforward guide on how we manage performance</w:t>
      </w:r>
      <w:r w:rsidR="001D0693">
        <w:rPr>
          <w:rFonts w:ascii="Arial" w:hAnsi="Arial" w:cs="Arial"/>
          <w:sz w:val="24"/>
        </w:rPr>
        <w:t xml:space="preserve"> and the processes involved.</w:t>
      </w:r>
    </w:p>
    <w:p w14:paraId="580EF240" w14:textId="77777777" w:rsidR="0001721F" w:rsidRPr="0001721F" w:rsidRDefault="0001721F" w:rsidP="0001721F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2902CCED" w14:textId="407366B5" w:rsidR="00C13793" w:rsidRDefault="00561C4B" w:rsidP="0067233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C13793">
        <w:rPr>
          <w:rFonts w:ascii="Arial" w:hAnsi="Arial" w:cs="Arial"/>
          <w:sz w:val="24"/>
        </w:rPr>
        <w:t xml:space="preserve">In July 2020, a review was launched to produce a shared performance framework as part of Phase </w:t>
      </w:r>
      <w:r w:rsidR="000D00EF" w:rsidRPr="00C13793">
        <w:rPr>
          <w:rFonts w:ascii="Arial" w:hAnsi="Arial" w:cs="Arial"/>
          <w:sz w:val="24"/>
        </w:rPr>
        <w:t>2</w:t>
      </w:r>
      <w:r w:rsidRPr="00C13793">
        <w:rPr>
          <w:rFonts w:ascii="Arial" w:hAnsi="Arial" w:cs="Arial"/>
          <w:sz w:val="24"/>
        </w:rPr>
        <w:t xml:space="preserve"> of shared services</w:t>
      </w:r>
      <w:r w:rsidR="00433271" w:rsidRPr="00C13793">
        <w:rPr>
          <w:rFonts w:ascii="Arial" w:hAnsi="Arial" w:cs="Arial"/>
          <w:sz w:val="24"/>
        </w:rPr>
        <w:t>, seeking</w:t>
      </w:r>
      <w:r w:rsidR="00D45642" w:rsidRPr="00C13793">
        <w:rPr>
          <w:rFonts w:ascii="Arial" w:hAnsi="Arial" w:cs="Arial"/>
          <w:sz w:val="24"/>
        </w:rPr>
        <w:t xml:space="preserve"> </w:t>
      </w:r>
      <w:r w:rsidRPr="00C13793">
        <w:rPr>
          <w:rFonts w:ascii="Arial" w:hAnsi="Arial" w:cs="Arial"/>
          <w:sz w:val="24"/>
        </w:rPr>
        <w:t>to harmonise policy across Chorley and South Ribble Borough Council</w:t>
      </w:r>
      <w:r w:rsidR="0066084A" w:rsidRPr="00C13793">
        <w:rPr>
          <w:rFonts w:ascii="Arial" w:hAnsi="Arial" w:cs="Arial"/>
          <w:sz w:val="24"/>
        </w:rPr>
        <w:t>s</w:t>
      </w:r>
      <w:r w:rsidR="00B11AF6">
        <w:rPr>
          <w:rFonts w:ascii="Arial" w:hAnsi="Arial" w:cs="Arial"/>
          <w:sz w:val="24"/>
        </w:rPr>
        <w:t>. Th</w:t>
      </w:r>
      <w:r w:rsidR="001D0693">
        <w:rPr>
          <w:rFonts w:ascii="Arial" w:hAnsi="Arial" w:cs="Arial"/>
          <w:sz w:val="24"/>
        </w:rPr>
        <w:t xml:space="preserve">e review </w:t>
      </w:r>
      <w:r w:rsidR="00B11AF6">
        <w:rPr>
          <w:rFonts w:ascii="Arial" w:hAnsi="Arial" w:cs="Arial"/>
          <w:sz w:val="24"/>
        </w:rPr>
        <w:t>also sought to ensure that our approach to performance management remains robust</w:t>
      </w:r>
      <w:r w:rsidR="00F90474">
        <w:rPr>
          <w:rFonts w:ascii="Arial" w:hAnsi="Arial" w:cs="Arial"/>
          <w:sz w:val="24"/>
        </w:rPr>
        <w:t xml:space="preserve"> and consistent</w:t>
      </w:r>
      <w:r w:rsidR="001D0693">
        <w:rPr>
          <w:rFonts w:ascii="Arial" w:hAnsi="Arial" w:cs="Arial"/>
          <w:sz w:val="24"/>
        </w:rPr>
        <w:t xml:space="preserve"> so that we can successfully monitor and improve services.</w:t>
      </w:r>
    </w:p>
    <w:p w14:paraId="2C0FDB0E" w14:textId="77777777" w:rsidR="00B11AF6" w:rsidRPr="000119BF" w:rsidRDefault="00B11AF6" w:rsidP="000119BF">
      <w:pPr>
        <w:pStyle w:val="ListParagraph"/>
        <w:ind w:left="1080"/>
        <w:jc w:val="both"/>
        <w:rPr>
          <w:rFonts w:ascii="Arial" w:hAnsi="Arial" w:cs="Arial"/>
          <w:sz w:val="24"/>
        </w:rPr>
      </w:pPr>
    </w:p>
    <w:p w14:paraId="39D20C8D" w14:textId="5D34AFAF" w:rsidR="00C13793" w:rsidRPr="000119BF" w:rsidRDefault="00B11AF6" w:rsidP="0001721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A3FFA">
        <w:rPr>
          <w:rFonts w:ascii="Arial" w:hAnsi="Arial" w:cs="Arial"/>
          <w:sz w:val="24"/>
          <w:szCs w:val="24"/>
          <w:lang w:val="en-US"/>
        </w:rPr>
        <w:t>The review was led by</w:t>
      </w:r>
      <w:r w:rsidR="001D0693">
        <w:rPr>
          <w:rFonts w:ascii="Arial" w:hAnsi="Arial" w:cs="Arial"/>
          <w:sz w:val="24"/>
        </w:rPr>
        <w:t xml:space="preserve"> the shared Transformation and Partnerships service who used their collective knowledge and expertise as a basis for developing a revised framework. Consultation was undertaken with senior leadership teams for both councils and a range of staff </w:t>
      </w:r>
      <w:r w:rsidR="00BA3FFA" w:rsidRPr="00641A61">
        <w:rPr>
          <w:rFonts w:ascii="Arial" w:hAnsi="Arial" w:cs="Arial"/>
          <w:sz w:val="24"/>
        </w:rPr>
        <w:t>to gauge the usability of the policy, as well as highlight any issues or areas for improvement. This involved fourteen members of staff from across each organisation and in a range of services</w:t>
      </w:r>
      <w:r w:rsidR="000119BF">
        <w:rPr>
          <w:rFonts w:ascii="Arial" w:hAnsi="Arial" w:cs="Arial"/>
          <w:sz w:val="24"/>
        </w:rPr>
        <w:t xml:space="preserve">. </w:t>
      </w:r>
    </w:p>
    <w:p w14:paraId="05CE3071" w14:textId="3BEAE2A4" w:rsidR="009710F4" w:rsidRPr="001D0693" w:rsidRDefault="009710F4" w:rsidP="001D0693">
      <w:pPr>
        <w:rPr>
          <w:rFonts w:cs="Arial"/>
          <w:sz w:val="24"/>
          <w:szCs w:val="24"/>
          <w:lang w:val="en-US"/>
        </w:rPr>
      </w:pPr>
    </w:p>
    <w:p w14:paraId="05ED5E90" w14:textId="1AA3BF15" w:rsidR="00693A70" w:rsidRPr="001D0693" w:rsidRDefault="00561C4B" w:rsidP="009710F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561C4B">
        <w:rPr>
          <w:rFonts w:ascii="Arial" w:hAnsi="Arial" w:cs="Arial"/>
          <w:sz w:val="24"/>
        </w:rPr>
        <w:t xml:space="preserve">The </w:t>
      </w:r>
      <w:r w:rsidR="00104093">
        <w:rPr>
          <w:rFonts w:ascii="Arial" w:hAnsi="Arial" w:cs="Arial"/>
          <w:sz w:val="24"/>
        </w:rPr>
        <w:t>revised</w:t>
      </w:r>
      <w:r w:rsidR="007D3B93">
        <w:rPr>
          <w:rFonts w:ascii="Arial" w:hAnsi="Arial" w:cs="Arial"/>
          <w:sz w:val="24"/>
        </w:rPr>
        <w:t xml:space="preserve"> shared</w:t>
      </w:r>
      <w:r w:rsidRPr="00561C4B">
        <w:rPr>
          <w:rFonts w:ascii="Arial" w:hAnsi="Arial" w:cs="Arial"/>
          <w:sz w:val="24"/>
        </w:rPr>
        <w:t xml:space="preserve"> Corporate Performance Framework is </w:t>
      </w:r>
      <w:r w:rsidR="007D3B93">
        <w:rPr>
          <w:rFonts w:ascii="Arial" w:hAnsi="Arial" w:cs="Arial"/>
          <w:sz w:val="24"/>
        </w:rPr>
        <w:t>available at</w:t>
      </w:r>
      <w:r w:rsidRPr="00561C4B">
        <w:rPr>
          <w:rFonts w:ascii="Arial" w:hAnsi="Arial" w:cs="Arial"/>
          <w:sz w:val="24"/>
        </w:rPr>
        <w:t xml:space="preserve"> </w:t>
      </w:r>
      <w:r w:rsidRPr="00561C4B">
        <w:rPr>
          <w:rFonts w:ascii="Arial" w:hAnsi="Arial" w:cs="Arial"/>
          <w:b/>
          <w:bCs/>
          <w:sz w:val="24"/>
        </w:rPr>
        <w:t>Appendix A</w:t>
      </w:r>
      <w:r w:rsidRPr="00561C4B">
        <w:rPr>
          <w:rFonts w:ascii="Arial" w:hAnsi="Arial" w:cs="Arial"/>
          <w:sz w:val="24"/>
        </w:rPr>
        <w:t xml:space="preserve">. </w:t>
      </w:r>
    </w:p>
    <w:p w14:paraId="16E64F4A" w14:textId="77777777" w:rsidR="001D0693" w:rsidRPr="001D0693" w:rsidRDefault="001D0693" w:rsidP="001D0693">
      <w:pPr>
        <w:jc w:val="both"/>
        <w:rPr>
          <w:rFonts w:cs="Arial"/>
          <w:sz w:val="24"/>
          <w:szCs w:val="24"/>
          <w:lang w:val="en-US"/>
        </w:rPr>
      </w:pPr>
    </w:p>
    <w:p w14:paraId="049B641C" w14:textId="77777777" w:rsidR="00693A70" w:rsidRPr="00693A70" w:rsidRDefault="00693A70" w:rsidP="00693A70">
      <w:pPr>
        <w:rPr>
          <w:rFonts w:cs="Arial"/>
          <w:b/>
          <w:sz w:val="24"/>
          <w:szCs w:val="24"/>
        </w:rPr>
      </w:pPr>
      <w:r w:rsidRPr="00693A70">
        <w:rPr>
          <w:rFonts w:cs="Arial"/>
          <w:b/>
          <w:sz w:val="24"/>
          <w:szCs w:val="24"/>
        </w:rPr>
        <w:t xml:space="preserve">Overview of the revised policy </w:t>
      </w:r>
    </w:p>
    <w:p w14:paraId="7DD67CF4" w14:textId="77777777" w:rsidR="00693A70" w:rsidRPr="00693A70" w:rsidRDefault="00693A70" w:rsidP="00693A70">
      <w:pPr>
        <w:jc w:val="both"/>
        <w:rPr>
          <w:rFonts w:cs="Arial"/>
          <w:sz w:val="24"/>
          <w:szCs w:val="24"/>
          <w:lang w:val="en-US"/>
        </w:rPr>
      </w:pPr>
    </w:p>
    <w:p w14:paraId="753395BD" w14:textId="602A64F2" w:rsidR="00693A70" w:rsidRPr="00104093" w:rsidRDefault="00693A70" w:rsidP="0010409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93A70">
        <w:rPr>
          <w:rFonts w:ascii="Arial" w:hAnsi="Arial" w:cs="Arial"/>
          <w:bCs/>
          <w:sz w:val="24"/>
        </w:rPr>
        <w:t xml:space="preserve"> To effectively manage performance across shared services, the revis</w:t>
      </w:r>
      <w:r w:rsidR="001D0693">
        <w:rPr>
          <w:rFonts w:ascii="Arial" w:hAnsi="Arial" w:cs="Arial"/>
          <w:bCs/>
          <w:sz w:val="24"/>
        </w:rPr>
        <w:t>ed policy sets out:</w:t>
      </w:r>
    </w:p>
    <w:p w14:paraId="363056B9" w14:textId="77777777" w:rsidR="00104093" w:rsidRPr="00104093" w:rsidRDefault="00104093" w:rsidP="00104093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59412890" w14:textId="1EA9ACEF" w:rsidR="00693A70" w:rsidRPr="00693A70" w:rsidRDefault="00693A70" w:rsidP="00693A7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</w:rPr>
      </w:pPr>
      <w:r w:rsidRPr="00693A70">
        <w:rPr>
          <w:rFonts w:ascii="Arial" w:hAnsi="Arial" w:cs="Arial"/>
          <w:bCs/>
          <w:sz w:val="24"/>
        </w:rPr>
        <w:t>The planning process and how strategies and priorities are developed</w:t>
      </w:r>
      <w:r w:rsidR="000B42DF">
        <w:rPr>
          <w:rFonts w:ascii="Arial" w:hAnsi="Arial" w:cs="Arial"/>
          <w:bCs/>
          <w:sz w:val="24"/>
        </w:rPr>
        <w:t>.</w:t>
      </w:r>
      <w:r w:rsidRPr="00693A70">
        <w:rPr>
          <w:rFonts w:ascii="Arial" w:hAnsi="Arial" w:cs="Arial"/>
          <w:bCs/>
          <w:sz w:val="24"/>
        </w:rPr>
        <w:t xml:space="preserve"> </w:t>
      </w:r>
    </w:p>
    <w:p w14:paraId="33BE0D3B" w14:textId="77777777" w:rsidR="00693A70" w:rsidRPr="00693A70" w:rsidRDefault="00693A70" w:rsidP="00693A7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</w:rPr>
      </w:pPr>
      <w:r w:rsidRPr="00693A70">
        <w:rPr>
          <w:rFonts w:ascii="Arial" w:hAnsi="Arial" w:cs="Arial"/>
          <w:bCs/>
          <w:sz w:val="24"/>
        </w:rPr>
        <w:t xml:space="preserve">The measuring mechanisms used to capture progress. </w:t>
      </w:r>
    </w:p>
    <w:p w14:paraId="1D0E6003" w14:textId="77777777" w:rsidR="00693A70" w:rsidRPr="00693A70" w:rsidRDefault="00693A70" w:rsidP="00693A7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</w:rPr>
      </w:pPr>
      <w:r w:rsidRPr="00693A70">
        <w:rPr>
          <w:rFonts w:ascii="Arial" w:hAnsi="Arial" w:cs="Arial"/>
          <w:bCs/>
          <w:sz w:val="24"/>
        </w:rPr>
        <w:t xml:space="preserve">How performance is reviewed and scrutinised. </w:t>
      </w:r>
    </w:p>
    <w:p w14:paraId="4B8602D2" w14:textId="77777777" w:rsidR="00693A70" w:rsidRPr="00693A70" w:rsidRDefault="00693A70" w:rsidP="00693A7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</w:rPr>
      </w:pPr>
      <w:r w:rsidRPr="00693A70">
        <w:rPr>
          <w:rFonts w:ascii="Arial" w:hAnsi="Arial" w:cs="Arial"/>
          <w:bCs/>
          <w:sz w:val="24"/>
        </w:rPr>
        <w:t xml:space="preserve">How plans and strategies are revised to ensure they accurately respond to customer needs. </w:t>
      </w:r>
    </w:p>
    <w:p w14:paraId="0E431997" w14:textId="203A704C" w:rsidR="006E2CD6" w:rsidRDefault="00693A70" w:rsidP="006E2CD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Cs/>
          <w:sz w:val="24"/>
        </w:rPr>
      </w:pPr>
      <w:r w:rsidRPr="00693A70">
        <w:rPr>
          <w:rFonts w:ascii="Arial" w:hAnsi="Arial" w:cs="Arial"/>
          <w:bCs/>
          <w:sz w:val="24"/>
        </w:rPr>
        <w:t xml:space="preserve">The roles and responsibilities of staff and committees within the performance process. </w:t>
      </w:r>
    </w:p>
    <w:p w14:paraId="7CF2DFA8" w14:textId="556F945E" w:rsidR="001D0693" w:rsidRDefault="001D0693" w:rsidP="001D0693">
      <w:pPr>
        <w:pStyle w:val="ListParagraph"/>
        <w:ind w:left="1440"/>
        <w:jc w:val="both"/>
        <w:rPr>
          <w:rFonts w:ascii="Arial" w:hAnsi="Arial" w:cs="Arial"/>
          <w:bCs/>
          <w:sz w:val="24"/>
        </w:rPr>
      </w:pPr>
    </w:p>
    <w:p w14:paraId="349BCF0A" w14:textId="77777777" w:rsidR="001D0693" w:rsidRPr="00064754" w:rsidRDefault="001D0693" w:rsidP="001D0693">
      <w:pPr>
        <w:pStyle w:val="ListParagraph"/>
        <w:ind w:left="1440"/>
        <w:jc w:val="both"/>
        <w:rPr>
          <w:rFonts w:ascii="Arial" w:hAnsi="Arial" w:cs="Arial"/>
          <w:bCs/>
          <w:sz w:val="24"/>
        </w:rPr>
      </w:pPr>
    </w:p>
    <w:p w14:paraId="14338FCF" w14:textId="628334B7" w:rsidR="00712450" w:rsidRPr="00712450" w:rsidRDefault="00712450" w:rsidP="0071245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Key changes from the previous policy </w:t>
      </w:r>
    </w:p>
    <w:p w14:paraId="4FF1D7B7" w14:textId="77777777" w:rsidR="00712450" w:rsidRPr="00712450" w:rsidRDefault="00712450" w:rsidP="00712450">
      <w:pPr>
        <w:rPr>
          <w:rFonts w:cs="Arial"/>
          <w:b/>
          <w:sz w:val="24"/>
          <w:szCs w:val="24"/>
        </w:rPr>
      </w:pPr>
    </w:p>
    <w:p w14:paraId="3E107B23" w14:textId="28286C90" w:rsidR="000B42DF" w:rsidRPr="000B42DF" w:rsidRDefault="00125DB3" w:rsidP="000B42D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key changes from the previous policy</w:t>
      </w:r>
      <w:r w:rsidR="000B42DF">
        <w:rPr>
          <w:rFonts w:ascii="Arial" w:hAnsi="Arial" w:cs="Arial"/>
          <w:bCs/>
          <w:sz w:val="24"/>
          <w:szCs w:val="24"/>
        </w:rPr>
        <w:t xml:space="preserve">, as well as the rationale for those changes, are outlined in the table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B42DF" w14:paraId="5057689B" w14:textId="77777777" w:rsidTr="000B42DF">
        <w:tc>
          <w:tcPr>
            <w:tcW w:w="4814" w:type="dxa"/>
            <w:shd w:val="clear" w:color="auto" w:fill="A6A6A6" w:themeFill="background1" w:themeFillShade="A6"/>
          </w:tcPr>
          <w:p w14:paraId="69AF2A68" w14:textId="25183277" w:rsidR="000B42DF" w:rsidRDefault="000B42DF" w:rsidP="000B42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Change </w:t>
            </w:r>
          </w:p>
        </w:tc>
        <w:tc>
          <w:tcPr>
            <w:tcW w:w="4814" w:type="dxa"/>
            <w:shd w:val="clear" w:color="auto" w:fill="A6A6A6" w:themeFill="background1" w:themeFillShade="A6"/>
          </w:tcPr>
          <w:p w14:paraId="7FFAB750" w14:textId="7F6C5055" w:rsidR="000B42DF" w:rsidRDefault="000B42DF" w:rsidP="000B42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Rationale </w:t>
            </w:r>
          </w:p>
        </w:tc>
      </w:tr>
      <w:tr w:rsidR="000B42DF" w14:paraId="39230E55" w14:textId="77777777" w:rsidTr="000B42DF">
        <w:tc>
          <w:tcPr>
            <w:tcW w:w="4814" w:type="dxa"/>
          </w:tcPr>
          <w:p w14:paraId="4454D58E" w14:textId="50091C98" w:rsidR="000B42DF" w:rsidRPr="000B42DF" w:rsidRDefault="000B42DF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The framework is now structured around the ‘Plan, Measure, Review, Revise’ Model. </w:t>
            </w:r>
          </w:p>
        </w:tc>
        <w:tc>
          <w:tcPr>
            <w:tcW w:w="4814" w:type="dxa"/>
          </w:tcPr>
          <w:p w14:paraId="64F26097" w14:textId="35DB3797" w:rsidR="000B42DF" w:rsidRDefault="000B42DF" w:rsidP="000B42DF">
            <w:pPr>
              <w:rPr>
                <w:rFonts w:cs="Arial"/>
                <w:bCs/>
                <w:sz w:val="24"/>
                <w:szCs w:val="22"/>
                <w:lang w:eastAsia="en-US"/>
              </w:rPr>
            </w:pPr>
            <w:r>
              <w:rPr>
                <w:rFonts w:cs="Arial"/>
                <w:bCs/>
                <w:sz w:val="24"/>
                <w:szCs w:val="22"/>
                <w:lang w:eastAsia="en-US"/>
              </w:rPr>
              <w:t xml:space="preserve">To </w:t>
            </w:r>
            <w:r w:rsidR="00734FBD">
              <w:rPr>
                <w:rFonts w:cs="Arial"/>
                <w:bCs/>
                <w:sz w:val="24"/>
                <w:szCs w:val="22"/>
                <w:lang w:eastAsia="en-US"/>
              </w:rPr>
              <w:t xml:space="preserve">provide a clear structure and </w:t>
            </w:r>
            <w:r>
              <w:rPr>
                <w:rFonts w:cs="Arial"/>
                <w:bCs/>
                <w:sz w:val="24"/>
                <w:szCs w:val="22"/>
                <w:lang w:eastAsia="en-US"/>
              </w:rPr>
              <w:t xml:space="preserve">better capture the measuring element of the performance process, which is critical to quantifying progress. </w:t>
            </w:r>
          </w:p>
          <w:p w14:paraId="05917ADC" w14:textId="0964392E" w:rsidR="000B42DF" w:rsidRDefault="000B42DF" w:rsidP="000B42D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B42DF" w14:paraId="5644AC6B" w14:textId="77777777" w:rsidTr="000B42DF">
        <w:tc>
          <w:tcPr>
            <w:tcW w:w="4814" w:type="dxa"/>
          </w:tcPr>
          <w:p w14:paraId="27860BCA" w14:textId="77777777" w:rsidR="0010025C" w:rsidRDefault="000B42DF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The formatting of the document has been altered, including the introduction of colour coding</w:t>
            </w:r>
            <w:r w:rsidR="002533AD">
              <w:rPr>
                <w:rFonts w:cs="Arial"/>
                <w:bCs/>
                <w:sz w:val="24"/>
                <w:szCs w:val="24"/>
              </w:rPr>
              <w:t xml:space="preserve"> and diagrams. </w:t>
            </w:r>
          </w:p>
          <w:p w14:paraId="10E9A681" w14:textId="63073B97" w:rsidR="0010025C" w:rsidRPr="000B42DF" w:rsidRDefault="0010025C" w:rsidP="000B42D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EA54B3F" w14:textId="1E16FA0D" w:rsidR="000B42DF" w:rsidRPr="000B42DF" w:rsidRDefault="000B42DF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To make the document user friendly and easy to navigate. </w:t>
            </w:r>
          </w:p>
        </w:tc>
      </w:tr>
      <w:tr w:rsidR="000B42DF" w14:paraId="20FD1DE6" w14:textId="77777777" w:rsidTr="000B42DF">
        <w:tc>
          <w:tcPr>
            <w:tcW w:w="4814" w:type="dxa"/>
          </w:tcPr>
          <w:p w14:paraId="23975A84" w14:textId="329F270B" w:rsidR="000B42DF" w:rsidRPr="000B42DF" w:rsidRDefault="000B42DF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Language/terminology has been changed. </w:t>
            </w:r>
          </w:p>
        </w:tc>
        <w:tc>
          <w:tcPr>
            <w:tcW w:w="4814" w:type="dxa"/>
          </w:tcPr>
          <w:p w14:paraId="586CA1F3" w14:textId="2C4E240E" w:rsidR="000B42DF" w:rsidRDefault="000B42DF" w:rsidP="000B42DF">
            <w:pPr>
              <w:rPr>
                <w:rFonts w:cs="Arial"/>
                <w:bCs/>
                <w:sz w:val="24"/>
                <w:szCs w:val="22"/>
                <w:lang w:eastAsia="en-US"/>
              </w:rPr>
            </w:pPr>
            <w:r>
              <w:rPr>
                <w:rFonts w:cs="Arial"/>
                <w:bCs/>
                <w:sz w:val="24"/>
                <w:szCs w:val="22"/>
                <w:lang w:eastAsia="en-US"/>
              </w:rPr>
              <w:t>To harmonise the performance terminology across both authorities so that shared services can respond consistently and to performance needs.</w:t>
            </w:r>
          </w:p>
          <w:p w14:paraId="00784509" w14:textId="6BC7509E" w:rsidR="000B42DF" w:rsidRDefault="000B42DF" w:rsidP="000B42DF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B42DF" w14:paraId="3B1AE4E3" w14:textId="77777777" w:rsidTr="000B42DF">
        <w:tc>
          <w:tcPr>
            <w:tcW w:w="4814" w:type="dxa"/>
          </w:tcPr>
          <w:p w14:paraId="2970B9CE" w14:textId="3241759A" w:rsidR="000B42DF" w:rsidRPr="002533AD" w:rsidRDefault="002533AD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Two </w:t>
            </w:r>
            <w:r w:rsidR="00B83A56">
              <w:rPr>
                <w:rFonts w:cs="Arial"/>
                <w:bCs/>
                <w:sz w:val="24"/>
                <w:szCs w:val="24"/>
              </w:rPr>
              <w:t>guidance</w:t>
            </w:r>
            <w:r>
              <w:rPr>
                <w:rFonts w:cs="Arial"/>
                <w:bCs/>
                <w:sz w:val="24"/>
                <w:szCs w:val="24"/>
              </w:rPr>
              <w:t xml:space="preserve"> documents </w:t>
            </w:r>
            <w:r w:rsidR="00734FBD">
              <w:rPr>
                <w:rFonts w:cs="Arial"/>
                <w:bCs/>
                <w:sz w:val="24"/>
                <w:szCs w:val="24"/>
              </w:rPr>
              <w:t xml:space="preserve">have been produced to provide more detail on data quality and business planning. </w:t>
            </w:r>
          </w:p>
        </w:tc>
        <w:tc>
          <w:tcPr>
            <w:tcW w:w="4814" w:type="dxa"/>
          </w:tcPr>
          <w:p w14:paraId="5721859A" w14:textId="33A0A556" w:rsidR="000B42DF" w:rsidRDefault="00B83A56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To</w:t>
            </w:r>
            <w:r w:rsidR="00495998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34FBD">
              <w:rPr>
                <w:rFonts w:cs="Arial"/>
                <w:bCs/>
                <w:sz w:val="24"/>
                <w:szCs w:val="24"/>
              </w:rPr>
              <w:t>provide additional information without over complicating the main framework.</w:t>
            </w:r>
          </w:p>
          <w:p w14:paraId="6494CA1F" w14:textId="3B6CC72B" w:rsidR="00B83A56" w:rsidRPr="002533AD" w:rsidRDefault="00B83A56" w:rsidP="000B42D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B6091D" w14:paraId="1FBCD214" w14:textId="77777777" w:rsidTr="000B42DF">
        <w:tc>
          <w:tcPr>
            <w:tcW w:w="4814" w:type="dxa"/>
          </w:tcPr>
          <w:p w14:paraId="7D247ECB" w14:textId="0F130F7E" w:rsidR="00B6091D" w:rsidRDefault="00B6091D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Introduction of a performance data journey and corporate planning cycle. </w:t>
            </w:r>
          </w:p>
        </w:tc>
        <w:tc>
          <w:tcPr>
            <w:tcW w:w="4814" w:type="dxa"/>
          </w:tcPr>
          <w:p w14:paraId="69FE9EB0" w14:textId="77777777" w:rsidR="00B6091D" w:rsidRDefault="00B6091D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To provide clarity for staff on how </w:t>
            </w:r>
            <w:r w:rsidR="005F78D7">
              <w:rPr>
                <w:rFonts w:cs="Arial"/>
                <w:bCs/>
                <w:sz w:val="24"/>
                <w:szCs w:val="24"/>
              </w:rPr>
              <w:t xml:space="preserve">performance </w:t>
            </w:r>
            <w:r>
              <w:rPr>
                <w:rFonts w:cs="Arial"/>
                <w:bCs/>
                <w:sz w:val="24"/>
                <w:szCs w:val="24"/>
              </w:rPr>
              <w:t xml:space="preserve">data is processed, where it goes and why. </w:t>
            </w:r>
          </w:p>
          <w:p w14:paraId="7C212CB3" w14:textId="4944A870" w:rsidR="00E71BE7" w:rsidRDefault="00E71BE7" w:rsidP="000B42D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0B42DF" w14:paraId="6D688E66" w14:textId="77777777" w:rsidTr="000B42DF">
        <w:tc>
          <w:tcPr>
            <w:tcW w:w="4814" w:type="dxa"/>
          </w:tcPr>
          <w:p w14:paraId="42CFB34B" w14:textId="434392E0" w:rsidR="000B42DF" w:rsidRDefault="0010025C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The roles and responsibilities section has been expanded to include meetings and committees. </w:t>
            </w:r>
          </w:p>
          <w:p w14:paraId="11CB9D8D" w14:textId="4A15D66B" w:rsidR="0010025C" w:rsidRPr="0010025C" w:rsidRDefault="0010025C" w:rsidP="000B42D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4B67EFD5" w14:textId="0A9BF2CE" w:rsidR="000B42DF" w:rsidRPr="0010025C" w:rsidRDefault="0010025C" w:rsidP="000B42D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To provide more clarity for users on where performance information goes</w:t>
            </w:r>
            <w:r w:rsidR="00734FBD">
              <w:rPr>
                <w:rFonts w:cs="Arial"/>
                <w:bCs/>
                <w:sz w:val="24"/>
                <w:szCs w:val="24"/>
              </w:rPr>
              <w:t xml:space="preserve"> and how it is used.</w:t>
            </w:r>
          </w:p>
        </w:tc>
      </w:tr>
    </w:tbl>
    <w:p w14:paraId="44A88D9D" w14:textId="77777777" w:rsidR="0010025C" w:rsidRPr="000B42DF" w:rsidRDefault="0010025C" w:rsidP="000B42DF">
      <w:pPr>
        <w:rPr>
          <w:rFonts w:cs="Arial"/>
          <w:b/>
          <w:sz w:val="24"/>
          <w:szCs w:val="24"/>
        </w:rPr>
      </w:pPr>
    </w:p>
    <w:p w14:paraId="6D52F34A" w14:textId="77777777" w:rsidR="00B36DF6" w:rsidRPr="00B36DF6" w:rsidRDefault="00B36DF6" w:rsidP="00B36DF6">
      <w:pPr>
        <w:rPr>
          <w:rFonts w:cs="Arial"/>
          <w:b/>
          <w:sz w:val="24"/>
          <w:szCs w:val="24"/>
        </w:rPr>
      </w:pPr>
      <w:r w:rsidRPr="00B36DF6">
        <w:rPr>
          <w:rFonts w:cs="Arial"/>
          <w:b/>
          <w:sz w:val="24"/>
          <w:szCs w:val="24"/>
        </w:rPr>
        <w:t>Approach to implementation</w:t>
      </w:r>
    </w:p>
    <w:p w14:paraId="1D4451CF" w14:textId="77777777" w:rsidR="00B36DF6" w:rsidRPr="00B36DF6" w:rsidRDefault="00B36DF6" w:rsidP="00B36DF6">
      <w:pPr>
        <w:rPr>
          <w:rFonts w:cs="Arial"/>
          <w:b/>
          <w:sz w:val="24"/>
          <w:szCs w:val="24"/>
        </w:rPr>
      </w:pPr>
    </w:p>
    <w:p w14:paraId="7633F0B9" w14:textId="00161EFE" w:rsidR="006C1D12" w:rsidRPr="007868AC" w:rsidRDefault="00B36DF6" w:rsidP="007868A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36DF6">
        <w:rPr>
          <w:rFonts w:ascii="Arial" w:hAnsi="Arial" w:cs="Arial"/>
          <w:b/>
          <w:sz w:val="24"/>
          <w:szCs w:val="24"/>
        </w:rPr>
        <w:t xml:space="preserve"> </w:t>
      </w:r>
      <w:r w:rsidRPr="00B36DF6">
        <w:rPr>
          <w:rFonts w:ascii="Arial" w:hAnsi="Arial" w:cs="Arial"/>
          <w:bCs/>
          <w:sz w:val="24"/>
          <w:szCs w:val="24"/>
        </w:rPr>
        <w:t>In order to implement the framework across services, the following will be delivered</w:t>
      </w:r>
      <w:r w:rsidR="007868AC">
        <w:rPr>
          <w:rFonts w:ascii="Arial" w:hAnsi="Arial" w:cs="Arial"/>
          <w:bCs/>
          <w:sz w:val="24"/>
          <w:szCs w:val="24"/>
        </w:rPr>
        <w:t>:</w:t>
      </w:r>
    </w:p>
    <w:p w14:paraId="6BAF9631" w14:textId="77777777" w:rsidR="007868AC" w:rsidRPr="007868AC" w:rsidRDefault="007868AC" w:rsidP="007868A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38B7711A" w14:textId="7895C2AE" w:rsidR="006C1D12" w:rsidRPr="006C1D12" w:rsidRDefault="006C1D12" w:rsidP="006C1D1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</w:rPr>
      </w:pPr>
      <w:r w:rsidRPr="006C1D12">
        <w:rPr>
          <w:rFonts w:ascii="Arial" w:hAnsi="Arial" w:cs="Arial"/>
          <w:bCs/>
          <w:sz w:val="24"/>
        </w:rPr>
        <w:t>A full implementation plan will be developed to launch the new performance management framework for both councils.</w:t>
      </w:r>
    </w:p>
    <w:p w14:paraId="0F44EFCD" w14:textId="3B54E109" w:rsidR="006C1D12" w:rsidRPr="006C1D12" w:rsidRDefault="006C1D12" w:rsidP="006C1D1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</w:rPr>
      </w:pPr>
      <w:r w:rsidRPr="006C1D12">
        <w:rPr>
          <w:rFonts w:ascii="Arial" w:hAnsi="Arial" w:cs="Arial"/>
          <w:bCs/>
          <w:sz w:val="24"/>
        </w:rPr>
        <w:t>More detailed training will be provided for specific teams and officers with performance management responsibilities</w:t>
      </w:r>
      <w:r w:rsidR="00495998">
        <w:rPr>
          <w:rFonts w:ascii="Arial" w:hAnsi="Arial" w:cs="Arial"/>
          <w:bCs/>
          <w:sz w:val="24"/>
        </w:rPr>
        <w:t>,</w:t>
      </w:r>
      <w:r w:rsidRPr="006C1D12">
        <w:rPr>
          <w:rFonts w:ascii="Arial" w:hAnsi="Arial" w:cs="Arial"/>
          <w:bCs/>
          <w:sz w:val="24"/>
        </w:rPr>
        <w:t xml:space="preserve"> including a leadership team briefing.</w:t>
      </w:r>
    </w:p>
    <w:p w14:paraId="62B03821" w14:textId="0A7B529F" w:rsidR="006C1D12" w:rsidRPr="006C1D12" w:rsidRDefault="006C1D12" w:rsidP="006C1D1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</w:rPr>
      </w:pPr>
      <w:r w:rsidRPr="006C1D12">
        <w:rPr>
          <w:rFonts w:ascii="Arial" w:hAnsi="Arial" w:cs="Arial"/>
          <w:bCs/>
          <w:sz w:val="24"/>
        </w:rPr>
        <w:t>Materials and resources will be developed</w:t>
      </w:r>
      <w:r w:rsidR="000B42DF">
        <w:rPr>
          <w:rFonts w:ascii="Arial" w:hAnsi="Arial" w:cs="Arial"/>
          <w:bCs/>
          <w:sz w:val="24"/>
        </w:rPr>
        <w:t>,</w:t>
      </w:r>
      <w:r w:rsidRPr="006C1D12">
        <w:rPr>
          <w:rFonts w:ascii="Arial" w:hAnsi="Arial" w:cs="Arial"/>
          <w:bCs/>
          <w:sz w:val="24"/>
        </w:rPr>
        <w:t xml:space="preserve"> including digital learning with key examples so that staff can learn at their own pace.</w:t>
      </w:r>
    </w:p>
    <w:p w14:paraId="1D662DB8" w14:textId="77777777" w:rsidR="006C1D12" w:rsidRPr="006C1D12" w:rsidRDefault="006C1D12" w:rsidP="006C1D1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</w:rPr>
      </w:pPr>
      <w:r w:rsidRPr="006C1D12">
        <w:rPr>
          <w:rFonts w:ascii="Arial" w:hAnsi="Arial" w:cs="Arial"/>
          <w:bCs/>
          <w:sz w:val="24"/>
        </w:rPr>
        <w:t>Regular working groups will provide ongoing support and access to the Performance and Partnerships team for advice and guidance</w:t>
      </w:r>
    </w:p>
    <w:p w14:paraId="5A2BAF1B" w14:textId="1BBE7785" w:rsidR="006C1D12" w:rsidRDefault="006C1D12" w:rsidP="006C1D12">
      <w:pPr>
        <w:pStyle w:val="ListParagraph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</w:rPr>
      </w:pPr>
      <w:r w:rsidRPr="006C1D12">
        <w:rPr>
          <w:rFonts w:ascii="Arial" w:hAnsi="Arial" w:cs="Arial"/>
          <w:bCs/>
          <w:sz w:val="24"/>
        </w:rPr>
        <w:t>Performance and Partnerships will be proactive in supporting managers and officers, offering regular briefings and catch ups.</w:t>
      </w:r>
    </w:p>
    <w:p w14:paraId="74FBE302" w14:textId="26EEFC77" w:rsidR="00734FBD" w:rsidRDefault="00734FBD" w:rsidP="00734FBD">
      <w:pPr>
        <w:jc w:val="both"/>
        <w:rPr>
          <w:rFonts w:cs="Arial"/>
          <w:bCs/>
          <w:sz w:val="24"/>
        </w:rPr>
      </w:pPr>
    </w:p>
    <w:p w14:paraId="06926456" w14:textId="5F542951" w:rsidR="00734FBD" w:rsidRPr="00E52DF7" w:rsidRDefault="00E52DF7" w:rsidP="00E52DF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</w:rPr>
      </w:pPr>
      <w:r w:rsidRPr="00E52DF7">
        <w:rPr>
          <w:rFonts w:ascii="Arial" w:hAnsi="Arial" w:cs="Arial"/>
          <w:bCs/>
          <w:sz w:val="24"/>
        </w:rPr>
        <w:t>An action plan will be formulated utilising the above to outline actions, action owners and timescales</w:t>
      </w:r>
      <w:r>
        <w:rPr>
          <w:rFonts w:ascii="Arial" w:hAnsi="Arial" w:cs="Arial"/>
          <w:bCs/>
          <w:sz w:val="24"/>
        </w:rPr>
        <w:t xml:space="preserve"> to ensure effective implementation. </w:t>
      </w:r>
    </w:p>
    <w:p w14:paraId="6BFF8D2F" w14:textId="77777777" w:rsidR="0001721F" w:rsidRPr="00CB4164" w:rsidRDefault="0001721F" w:rsidP="00C27220">
      <w:pPr>
        <w:rPr>
          <w:rFonts w:cs="Arial"/>
          <w:b/>
          <w:sz w:val="24"/>
          <w:szCs w:val="24"/>
        </w:rPr>
      </w:pPr>
    </w:p>
    <w:p w14:paraId="5E83997F" w14:textId="2068E132" w:rsidR="000546CE" w:rsidRPr="00CB4164" w:rsidRDefault="001E0D2A" w:rsidP="00C27220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lastRenderedPageBreak/>
        <w:t xml:space="preserve">ALTERNATIVE OPTIONS CONSIDERED </w:t>
      </w:r>
    </w:p>
    <w:p w14:paraId="7A2C0B3E" w14:textId="06B83E6A" w:rsidR="000546CE" w:rsidRPr="00CB4164" w:rsidRDefault="000546CE" w:rsidP="00C27220">
      <w:pPr>
        <w:rPr>
          <w:rFonts w:cs="Arial"/>
          <w:b/>
          <w:sz w:val="24"/>
          <w:szCs w:val="24"/>
        </w:rPr>
      </w:pPr>
    </w:p>
    <w:p w14:paraId="61AD6F47" w14:textId="6D2BD882" w:rsidR="00766A86" w:rsidRPr="00766A86" w:rsidRDefault="0037779D" w:rsidP="00766A8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alternative of not adopting the </w:t>
      </w:r>
      <w:r w:rsidR="00104093">
        <w:rPr>
          <w:rFonts w:ascii="Arial" w:hAnsi="Arial" w:cs="Arial"/>
          <w:bCs/>
          <w:sz w:val="24"/>
          <w:szCs w:val="24"/>
        </w:rPr>
        <w:t xml:space="preserve">revised </w:t>
      </w:r>
      <w:r>
        <w:rPr>
          <w:rFonts w:ascii="Arial" w:hAnsi="Arial" w:cs="Arial"/>
          <w:bCs/>
          <w:sz w:val="24"/>
          <w:szCs w:val="24"/>
        </w:rPr>
        <w:t>Corporate Performance Framework has been considered</w:t>
      </w:r>
      <w:r w:rsidR="00766A86">
        <w:rPr>
          <w:rFonts w:ascii="Arial" w:hAnsi="Arial" w:cs="Arial"/>
          <w:bCs/>
          <w:sz w:val="24"/>
          <w:szCs w:val="24"/>
        </w:rPr>
        <w:t>. This would</w:t>
      </w:r>
      <w:r w:rsidR="00734FBD">
        <w:rPr>
          <w:rFonts w:ascii="Arial" w:hAnsi="Arial" w:cs="Arial"/>
          <w:bCs/>
          <w:sz w:val="24"/>
          <w:szCs w:val="24"/>
        </w:rPr>
        <w:t xml:space="preserve"> maintain current inconsistencies and</w:t>
      </w:r>
      <w:r w:rsidR="00766A86">
        <w:rPr>
          <w:rFonts w:ascii="Arial" w:hAnsi="Arial" w:cs="Arial"/>
          <w:bCs/>
          <w:sz w:val="24"/>
          <w:szCs w:val="24"/>
        </w:rPr>
        <w:t xml:space="preserve"> </w:t>
      </w:r>
      <w:r w:rsidR="00734FBD">
        <w:rPr>
          <w:rFonts w:ascii="Arial" w:hAnsi="Arial" w:cs="Arial"/>
          <w:bCs/>
          <w:sz w:val="24"/>
          <w:szCs w:val="24"/>
        </w:rPr>
        <w:t>limit the effective management of performance for both Councils.</w:t>
      </w:r>
    </w:p>
    <w:p w14:paraId="350ACB47" w14:textId="77777777" w:rsidR="000546CE" w:rsidRPr="00CB4164" w:rsidRDefault="000546CE" w:rsidP="00C27220">
      <w:pPr>
        <w:rPr>
          <w:rFonts w:cs="Arial"/>
          <w:b/>
          <w:sz w:val="24"/>
          <w:szCs w:val="24"/>
        </w:rPr>
      </w:pPr>
    </w:p>
    <w:p w14:paraId="22827D76" w14:textId="27B4CA8D" w:rsidR="00C27220" w:rsidRPr="00CB4164" w:rsidRDefault="001E0D2A" w:rsidP="00C27220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AIR QUALITY IMPLICATIONS </w:t>
      </w:r>
    </w:p>
    <w:p w14:paraId="444F9A23" w14:textId="3CD915B8" w:rsidR="00C27220" w:rsidRPr="00CB4164" w:rsidRDefault="00C27220" w:rsidP="00C27220">
      <w:pPr>
        <w:rPr>
          <w:rFonts w:cs="Arial"/>
          <w:b/>
          <w:sz w:val="24"/>
          <w:szCs w:val="24"/>
        </w:rPr>
      </w:pPr>
    </w:p>
    <w:p w14:paraId="7077432B" w14:textId="502D4A8D" w:rsidR="00C27220" w:rsidRPr="00CB4164" w:rsidRDefault="00C27220" w:rsidP="00CB416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CB4164">
        <w:rPr>
          <w:rFonts w:ascii="Arial" w:hAnsi="Arial" w:cs="Arial"/>
          <w:bCs/>
          <w:sz w:val="24"/>
          <w:szCs w:val="24"/>
        </w:rPr>
        <w:t>.</w:t>
      </w:r>
      <w:r w:rsidR="0037779D">
        <w:rPr>
          <w:rFonts w:ascii="Arial" w:hAnsi="Arial" w:cs="Arial"/>
          <w:bCs/>
          <w:sz w:val="24"/>
          <w:szCs w:val="24"/>
        </w:rPr>
        <w:t>N/A</w:t>
      </w:r>
    </w:p>
    <w:p w14:paraId="77FA6DD7" w14:textId="77777777" w:rsidR="001E0D2A" w:rsidRPr="00CB4164" w:rsidRDefault="001E0D2A" w:rsidP="001E0D2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0E98025E" w14:textId="445B272B" w:rsidR="00053908" w:rsidRPr="00CB4164" w:rsidRDefault="001E0D2A" w:rsidP="00053908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RISK MANAGEMENT IMPLICATIONS</w:t>
      </w:r>
    </w:p>
    <w:p w14:paraId="7A1DEDB7" w14:textId="69356D7B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41B5E605" w14:textId="39EA5DED" w:rsidR="00053908" w:rsidRPr="00CB4164" w:rsidRDefault="00104093" w:rsidP="00CB416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N/A</w:t>
      </w:r>
    </w:p>
    <w:p w14:paraId="370627D1" w14:textId="1A55A463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62903857" w14:textId="499EF18A" w:rsidR="00053908" w:rsidRPr="00CB4164" w:rsidRDefault="001E0D2A" w:rsidP="00053908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 xml:space="preserve">EQUALITY &amp; DIVERSITY IMPACT </w:t>
      </w:r>
    </w:p>
    <w:p w14:paraId="16D03C99" w14:textId="4DB178F9" w:rsidR="00053908" w:rsidRPr="00CB4164" w:rsidRDefault="00053908" w:rsidP="00053908">
      <w:pPr>
        <w:rPr>
          <w:rFonts w:cs="Arial"/>
          <w:b/>
          <w:sz w:val="24"/>
          <w:szCs w:val="24"/>
        </w:rPr>
      </w:pPr>
    </w:p>
    <w:p w14:paraId="5E2BE925" w14:textId="2143C759" w:rsidR="00495998" w:rsidRPr="00495998" w:rsidRDefault="0037779D" w:rsidP="0049599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37779D">
        <w:rPr>
          <w:rFonts w:ascii="Arial" w:hAnsi="Arial" w:cs="Arial"/>
          <w:bCs/>
          <w:sz w:val="24"/>
          <w:szCs w:val="24"/>
        </w:rPr>
        <w:t>N/A</w:t>
      </w:r>
    </w:p>
    <w:p w14:paraId="559C06FC" w14:textId="77777777" w:rsidR="00495998" w:rsidRPr="00CB4164" w:rsidRDefault="00495998" w:rsidP="00495998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COMMENTS OF THE STATUTORY FINANCE OFFICER</w:t>
      </w:r>
    </w:p>
    <w:p w14:paraId="71D04675" w14:textId="77777777" w:rsidR="00495998" w:rsidRPr="00495998" w:rsidRDefault="00495998" w:rsidP="00495998">
      <w:pPr>
        <w:rPr>
          <w:rFonts w:cs="Arial"/>
          <w:bCs/>
          <w:sz w:val="24"/>
          <w:szCs w:val="24"/>
        </w:rPr>
      </w:pPr>
    </w:p>
    <w:p w14:paraId="41AE5D03" w14:textId="585977B6" w:rsidR="0031000C" w:rsidRPr="0031000C" w:rsidRDefault="00823BF7" w:rsidP="0031000C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 comment. </w:t>
      </w:r>
    </w:p>
    <w:p w14:paraId="621AAD1B" w14:textId="77777777" w:rsidR="001A24F9" w:rsidRPr="00CB4164" w:rsidRDefault="001A24F9" w:rsidP="002C71DE">
      <w:pPr>
        <w:rPr>
          <w:rFonts w:cs="Arial"/>
          <w:b/>
          <w:sz w:val="24"/>
          <w:szCs w:val="24"/>
        </w:rPr>
      </w:pPr>
      <w:r w:rsidRPr="00CB4164">
        <w:rPr>
          <w:rFonts w:cs="Arial"/>
          <w:b/>
          <w:sz w:val="24"/>
          <w:szCs w:val="24"/>
        </w:rPr>
        <w:t>COMMENTS OF THE MONITORING OFFICER</w:t>
      </w:r>
    </w:p>
    <w:p w14:paraId="346FCDDC" w14:textId="77777777" w:rsidR="00911FD5" w:rsidRPr="00CB4164" w:rsidRDefault="00911FD5" w:rsidP="00911FD5">
      <w:pPr>
        <w:ind w:left="567"/>
        <w:rPr>
          <w:rFonts w:cs="Arial"/>
          <w:b/>
          <w:sz w:val="24"/>
          <w:szCs w:val="24"/>
        </w:rPr>
      </w:pPr>
    </w:p>
    <w:p w14:paraId="7EDC5DDD" w14:textId="25594CD3" w:rsidR="0031000C" w:rsidRPr="0031000C" w:rsidRDefault="00823BF7" w:rsidP="0031000C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No comment. </w:t>
      </w:r>
    </w:p>
    <w:p w14:paraId="0FEDAC76" w14:textId="77777777" w:rsidR="00495998" w:rsidRPr="00495998" w:rsidRDefault="00495998" w:rsidP="00495998">
      <w:pPr>
        <w:rPr>
          <w:rFonts w:cs="Arial"/>
          <w:b/>
          <w:sz w:val="24"/>
          <w:szCs w:val="24"/>
        </w:rPr>
      </w:pPr>
      <w:r w:rsidRPr="00495998">
        <w:rPr>
          <w:rFonts w:cs="Arial"/>
          <w:b/>
          <w:sz w:val="24"/>
          <w:szCs w:val="24"/>
        </w:rPr>
        <w:t>BACKGROUND DOCUMENTS</w:t>
      </w:r>
    </w:p>
    <w:p w14:paraId="2539F40D" w14:textId="77777777" w:rsidR="00495998" w:rsidRPr="00495998" w:rsidRDefault="00495998" w:rsidP="00495998">
      <w:pPr>
        <w:rPr>
          <w:rFonts w:cs="Arial"/>
          <w:bCs/>
          <w:sz w:val="24"/>
          <w:szCs w:val="24"/>
        </w:rPr>
      </w:pPr>
    </w:p>
    <w:p w14:paraId="719C4FB3" w14:textId="0F36898B" w:rsidR="004C2F94" w:rsidRPr="00495998" w:rsidRDefault="00495998" w:rsidP="00495998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N/A</w:t>
      </w:r>
    </w:p>
    <w:p w14:paraId="14AA7A9E" w14:textId="24B6D35F" w:rsidR="004C2F94" w:rsidRDefault="00CB4164" w:rsidP="004C2F94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APPENDICES TO THIS REPORT </w:t>
      </w:r>
    </w:p>
    <w:p w14:paraId="14D7B9FB" w14:textId="33069D30" w:rsidR="001938A3" w:rsidRDefault="001938A3" w:rsidP="004C2F94">
      <w:pPr>
        <w:rPr>
          <w:rFonts w:cs="Arial"/>
          <w:b/>
          <w:sz w:val="24"/>
          <w:szCs w:val="24"/>
        </w:rPr>
      </w:pPr>
    </w:p>
    <w:p w14:paraId="1FC90D76" w14:textId="354F147B" w:rsidR="001938A3" w:rsidRPr="001938A3" w:rsidRDefault="001938A3" w:rsidP="004C2F94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Appendix A – Corporate Performance Framework </w:t>
      </w:r>
    </w:p>
    <w:p w14:paraId="778CBEC7" w14:textId="5E3B858C" w:rsidR="0037228A" w:rsidRDefault="0037228A" w:rsidP="00F30FB1">
      <w:pPr>
        <w:rPr>
          <w:rFonts w:cs="Arial"/>
          <w:b/>
          <w:sz w:val="24"/>
          <w:szCs w:val="24"/>
        </w:rPr>
      </w:pPr>
    </w:p>
    <w:p w14:paraId="2C7F2FD1" w14:textId="77777777" w:rsidR="0031000C" w:rsidRPr="00CB4164" w:rsidRDefault="0031000C" w:rsidP="00F30FB1">
      <w:pPr>
        <w:rPr>
          <w:rFonts w:cs="Arial"/>
          <w:i/>
          <w:color w:val="2E74B5" w:themeColor="accent1" w:themeShade="BF"/>
          <w:sz w:val="24"/>
          <w:szCs w:val="24"/>
        </w:rPr>
      </w:pPr>
    </w:p>
    <w:p w14:paraId="6D7FC65C" w14:textId="57B03DF9" w:rsidR="0037228A" w:rsidRPr="00CB4164" w:rsidRDefault="00022188" w:rsidP="0003395B">
      <w:pPr>
        <w:tabs>
          <w:tab w:val="left" w:pos="283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Victoria Willet</w:t>
      </w:r>
    </w:p>
    <w:p w14:paraId="4DC334E1" w14:textId="5ED66FB0" w:rsidR="0003395B" w:rsidRPr="00CB4164" w:rsidRDefault="00022188" w:rsidP="0003395B">
      <w:pPr>
        <w:tabs>
          <w:tab w:val="left" w:pos="283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Shared Service Lead – Transformation and Partnerships </w:t>
      </w:r>
    </w:p>
    <w:p w14:paraId="43BF6194" w14:textId="77777777" w:rsidR="00CB4164" w:rsidRDefault="00CB4164" w:rsidP="0037228A">
      <w:pPr>
        <w:tabs>
          <w:tab w:val="left" w:pos="2839"/>
        </w:tabs>
        <w:ind w:left="1146"/>
        <w:rPr>
          <w:rFonts w:cs="Arial"/>
          <w:b/>
          <w:sz w:val="24"/>
          <w:szCs w:val="24"/>
        </w:rPr>
      </w:pPr>
    </w:p>
    <w:p w14:paraId="200F47AE" w14:textId="77777777" w:rsidR="00CB4164" w:rsidRPr="00CB4164" w:rsidRDefault="00CB4164" w:rsidP="0037228A">
      <w:pPr>
        <w:tabs>
          <w:tab w:val="left" w:pos="2839"/>
        </w:tabs>
        <w:ind w:left="1146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3636"/>
        <w:gridCol w:w="1418"/>
      </w:tblGrid>
      <w:tr w:rsidR="0037228A" w:rsidRPr="00CB4164" w14:paraId="0D97464D" w14:textId="77777777" w:rsidTr="00022188">
        <w:tc>
          <w:tcPr>
            <w:tcW w:w="4470" w:type="dxa"/>
            <w:shd w:val="clear" w:color="auto" w:fill="auto"/>
          </w:tcPr>
          <w:p w14:paraId="1E488ECB" w14:textId="77777777" w:rsidR="0037228A" w:rsidRPr="00CB4164" w:rsidRDefault="0037228A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Report Author:</w:t>
            </w:r>
          </w:p>
        </w:tc>
        <w:tc>
          <w:tcPr>
            <w:tcW w:w="3639" w:type="dxa"/>
            <w:shd w:val="clear" w:color="auto" w:fill="auto"/>
          </w:tcPr>
          <w:p w14:paraId="609AD18B" w14:textId="77777777" w:rsidR="0037228A" w:rsidRPr="00CB4164" w:rsidRDefault="00E66713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Telephone</w:t>
            </w:r>
            <w:r w:rsidR="0037228A" w:rsidRPr="00CB416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411" w:type="dxa"/>
            <w:shd w:val="clear" w:color="auto" w:fill="auto"/>
          </w:tcPr>
          <w:p w14:paraId="2E65AC7F" w14:textId="77777777" w:rsidR="0037228A" w:rsidRPr="00CB4164" w:rsidRDefault="0037228A" w:rsidP="0031059E">
            <w:pPr>
              <w:rPr>
                <w:rFonts w:cs="Arial"/>
                <w:sz w:val="24"/>
                <w:szCs w:val="24"/>
              </w:rPr>
            </w:pPr>
            <w:r w:rsidRPr="00CB4164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37228A" w:rsidRPr="00CB4164" w14:paraId="057960E9" w14:textId="77777777" w:rsidTr="00022188">
        <w:tc>
          <w:tcPr>
            <w:tcW w:w="4470" w:type="dxa"/>
            <w:shd w:val="clear" w:color="auto" w:fill="auto"/>
          </w:tcPr>
          <w:p w14:paraId="22AA32B7" w14:textId="0621F8B5" w:rsidR="0003395B" w:rsidRPr="00CB4164" w:rsidRDefault="00022188" w:rsidP="000339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Jon-James Martin</w:t>
            </w:r>
          </w:p>
        </w:tc>
        <w:tc>
          <w:tcPr>
            <w:tcW w:w="3639" w:type="dxa"/>
            <w:shd w:val="clear" w:color="auto" w:fill="auto"/>
          </w:tcPr>
          <w:p w14:paraId="7668617B" w14:textId="6D3A857C" w:rsidR="0037228A" w:rsidRPr="00CB4164" w:rsidRDefault="00022188" w:rsidP="0031059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01257 515151</w:t>
            </w:r>
          </w:p>
        </w:tc>
        <w:tc>
          <w:tcPr>
            <w:tcW w:w="1411" w:type="dxa"/>
            <w:shd w:val="clear" w:color="auto" w:fill="auto"/>
          </w:tcPr>
          <w:p w14:paraId="1D70A512" w14:textId="50132543" w:rsidR="0037228A" w:rsidRPr="0037779D" w:rsidRDefault="00E71BE7" w:rsidP="0031059E">
            <w:pPr>
              <w:rPr>
                <w:rFonts w:cs="Arial"/>
                <w:sz w:val="24"/>
                <w:szCs w:val="24"/>
                <w:highlight w:val="yellow"/>
              </w:rPr>
            </w:pPr>
            <w:r w:rsidRPr="00E71BE7">
              <w:rPr>
                <w:rFonts w:cs="Arial"/>
                <w:sz w:val="24"/>
                <w:szCs w:val="24"/>
              </w:rPr>
              <w:t>24/09/2020</w:t>
            </w:r>
          </w:p>
        </w:tc>
      </w:tr>
    </w:tbl>
    <w:p w14:paraId="1C87750E" w14:textId="77777777" w:rsidR="002F5C5E" w:rsidRPr="00CB4164" w:rsidRDefault="002F5C5E" w:rsidP="004C2F94">
      <w:pPr>
        <w:rPr>
          <w:rFonts w:cs="Arial"/>
          <w:sz w:val="24"/>
          <w:szCs w:val="24"/>
        </w:rPr>
      </w:pPr>
    </w:p>
    <w:p w14:paraId="641CF382" w14:textId="77777777" w:rsidR="0003395B" w:rsidRDefault="0003395B" w:rsidP="004C2F94">
      <w:pPr>
        <w:rPr>
          <w:rFonts w:cs="Arial"/>
          <w:sz w:val="24"/>
          <w:szCs w:val="24"/>
        </w:rPr>
      </w:pPr>
    </w:p>
    <w:p w14:paraId="053D9AAF" w14:textId="77777777" w:rsidR="00CB4164" w:rsidRDefault="00CB4164" w:rsidP="004C2F94">
      <w:pPr>
        <w:rPr>
          <w:rFonts w:cs="Arial"/>
          <w:sz w:val="24"/>
          <w:szCs w:val="24"/>
        </w:rPr>
      </w:pPr>
    </w:p>
    <w:p w14:paraId="2763CF18" w14:textId="3BC61481" w:rsidR="00CB4164" w:rsidRDefault="00CB4164" w:rsidP="004C2F94">
      <w:pPr>
        <w:rPr>
          <w:rFonts w:cs="Arial"/>
          <w:sz w:val="24"/>
          <w:szCs w:val="24"/>
        </w:rPr>
      </w:pPr>
    </w:p>
    <w:p w14:paraId="390D690A" w14:textId="528365BF" w:rsidR="00314470" w:rsidRDefault="00314470" w:rsidP="004C2F94">
      <w:pPr>
        <w:rPr>
          <w:rFonts w:cs="Arial"/>
          <w:sz w:val="24"/>
          <w:szCs w:val="24"/>
        </w:rPr>
      </w:pPr>
    </w:p>
    <w:p w14:paraId="21374CB2" w14:textId="0468A2DC" w:rsidR="003705F3" w:rsidRPr="00CB4164" w:rsidRDefault="003705F3" w:rsidP="004C2F94">
      <w:pPr>
        <w:rPr>
          <w:rFonts w:cs="Arial"/>
          <w:sz w:val="24"/>
          <w:szCs w:val="24"/>
        </w:rPr>
      </w:pPr>
    </w:p>
    <w:sectPr w:rsidR="003705F3" w:rsidRPr="00CB4164" w:rsidSect="00E971A2"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DCDD" w14:textId="77777777" w:rsidR="003760E5" w:rsidRDefault="003760E5">
      <w:r>
        <w:separator/>
      </w:r>
    </w:p>
  </w:endnote>
  <w:endnote w:type="continuationSeparator" w:id="0">
    <w:p w14:paraId="0541026E" w14:textId="77777777" w:rsidR="003760E5" w:rsidRDefault="0037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80AD" w14:textId="77777777" w:rsidR="003760E5" w:rsidRDefault="003760E5">
      <w:r>
        <w:separator/>
      </w:r>
    </w:p>
  </w:footnote>
  <w:footnote w:type="continuationSeparator" w:id="0">
    <w:p w14:paraId="32593D49" w14:textId="77777777" w:rsidR="003760E5" w:rsidRDefault="0037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181"/>
    <w:multiLevelType w:val="hybridMultilevel"/>
    <w:tmpl w:val="C6DC7AC6"/>
    <w:lvl w:ilvl="0" w:tplc="C8004E00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53A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E71A29"/>
    <w:multiLevelType w:val="hybridMultilevel"/>
    <w:tmpl w:val="3E2A2D4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3751D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676602E"/>
    <w:multiLevelType w:val="hybridMultilevel"/>
    <w:tmpl w:val="26E22F5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205AF"/>
    <w:multiLevelType w:val="hybridMultilevel"/>
    <w:tmpl w:val="1C24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75FE"/>
    <w:multiLevelType w:val="hybridMultilevel"/>
    <w:tmpl w:val="5B761752"/>
    <w:lvl w:ilvl="0" w:tplc="2838547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6B7022D"/>
    <w:multiLevelType w:val="hybridMultilevel"/>
    <w:tmpl w:val="65B2F74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8550E"/>
    <w:multiLevelType w:val="hybridMultilevel"/>
    <w:tmpl w:val="9350FA2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220A"/>
    <w:multiLevelType w:val="hybridMultilevel"/>
    <w:tmpl w:val="5A3C1E78"/>
    <w:lvl w:ilvl="0" w:tplc="45F8AC16">
      <w:start w:val="125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A29E1"/>
    <w:multiLevelType w:val="hybridMultilevel"/>
    <w:tmpl w:val="9522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F0880"/>
    <w:multiLevelType w:val="multilevel"/>
    <w:tmpl w:val="FA6C91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5C62F2"/>
    <w:multiLevelType w:val="hybridMultilevel"/>
    <w:tmpl w:val="6BE4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3D71"/>
    <w:multiLevelType w:val="hybridMultilevel"/>
    <w:tmpl w:val="C41E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53C2F"/>
    <w:multiLevelType w:val="hybridMultilevel"/>
    <w:tmpl w:val="1EECC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210DA2"/>
    <w:multiLevelType w:val="hybridMultilevel"/>
    <w:tmpl w:val="B6D6A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A7286"/>
    <w:multiLevelType w:val="hybridMultilevel"/>
    <w:tmpl w:val="809659E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11"/>
  </w:num>
  <w:num w:numId="5">
    <w:abstractNumId w:val="1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23"/>
  </w:num>
  <w:num w:numId="14">
    <w:abstractNumId w:val="1"/>
  </w:num>
  <w:num w:numId="15">
    <w:abstractNumId w:val="6"/>
  </w:num>
  <w:num w:numId="16">
    <w:abstractNumId w:val="15"/>
  </w:num>
  <w:num w:numId="17">
    <w:abstractNumId w:val="21"/>
  </w:num>
  <w:num w:numId="18">
    <w:abstractNumId w:val="9"/>
  </w:num>
  <w:num w:numId="19">
    <w:abstractNumId w:val="25"/>
  </w:num>
  <w:num w:numId="20">
    <w:abstractNumId w:val="20"/>
  </w:num>
  <w:num w:numId="21">
    <w:abstractNumId w:val="17"/>
  </w:num>
  <w:num w:numId="22">
    <w:abstractNumId w:val="10"/>
  </w:num>
  <w:num w:numId="23">
    <w:abstractNumId w:val="22"/>
  </w:num>
  <w:num w:numId="24">
    <w:abstractNumId w:val="1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BB"/>
    <w:rsid w:val="00002742"/>
    <w:rsid w:val="00006D14"/>
    <w:rsid w:val="000119BF"/>
    <w:rsid w:val="00013B93"/>
    <w:rsid w:val="00016DD3"/>
    <w:rsid w:val="0001721F"/>
    <w:rsid w:val="00022188"/>
    <w:rsid w:val="00022B08"/>
    <w:rsid w:val="00027718"/>
    <w:rsid w:val="0003395B"/>
    <w:rsid w:val="000427E0"/>
    <w:rsid w:val="00044775"/>
    <w:rsid w:val="00044F11"/>
    <w:rsid w:val="00052F2E"/>
    <w:rsid w:val="00053908"/>
    <w:rsid w:val="000546CE"/>
    <w:rsid w:val="0006370A"/>
    <w:rsid w:val="00064754"/>
    <w:rsid w:val="00077488"/>
    <w:rsid w:val="000828CC"/>
    <w:rsid w:val="00094251"/>
    <w:rsid w:val="0009466B"/>
    <w:rsid w:val="000B42DF"/>
    <w:rsid w:val="000B7CE7"/>
    <w:rsid w:val="000D00EF"/>
    <w:rsid w:val="000D40AB"/>
    <w:rsid w:val="000E10FE"/>
    <w:rsid w:val="000E495E"/>
    <w:rsid w:val="000E5A3B"/>
    <w:rsid w:val="000F2C8A"/>
    <w:rsid w:val="0010025C"/>
    <w:rsid w:val="0010115F"/>
    <w:rsid w:val="00104093"/>
    <w:rsid w:val="00116662"/>
    <w:rsid w:val="00125DB3"/>
    <w:rsid w:val="00151FAC"/>
    <w:rsid w:val="001544DD"/>
    <w:rsid w:val="0016154E"/>
    <w:rsid w:val="00167AEF"/>
    <w:rsid w:val="00176159"/>
    <w:rsid w:val="00184E1D"/>
    <w:rsid w:val="001938A3"/>
    <w:rsid w:val="0019545D"/>
    <w:rsid w:val="001A24F9"/>
    <w:rsid w:val="001C457E"/>
    <w:rsid w:val="001D0693"/>
    <w:rsid w:val="001E0D2A"/>
    <w:rsid w:val="002040EA"/>
    <w:rsid w:val="00207251"/>
    <w:rsid w:val="002114B2"/>
    <w:rsid w:val="002221BD"/>
    <w:rsid w:val="00224852"/>
    <w:rsid w:val="0022563F"/>
    <w:rsid w:val="002533AD"/>
    <w:rsid w:val="0025591B"/>
    <w:rsid w:val="002820A5"/>
    <w:rsid w:val="00294520"/>
    <w:rsid w:val="002C19B1"/>
    <w:rsid w:val="002C71DE"/>
    <w:rsid w:val="002D4745"/>
    <w:rsid w:val="002E4FF4"/>
    <w:rsid w:val="002F5C5E"/>
    <w:rsid w:val="0031000C"/>
    <w:rsid w:val="0031059E"/>
    <w:rsid w:val="00314470"/>
    <w:rsid w:val="00331D5F"/>
    <w:rsid w:val="0034509B"/>
    <w:rsid w:val="00345C71"/>
    <w:rsid w:val="00357F6B"/>
    <w:rsid w:val="003705F3"/>
    <w:rsid w:val="0037228A"/>
    <w:rsid w:val="003760E5"/>
    <w:rsid w:val="0037779D"/>
    <w:rsid w:val="00386AAD"/>
    <w:rsid w:val="00392CE8"/>
    <w:rsid w:val="00397D7E"/>
    <w:rsid w:val="003A1B3F"/>
    <w:rsid w:val="003A23D3"/>
    <w:rsid w:val="003A2919"/>
    <w:rsid w:val="003B1E6D"/>
    <w:rsid w:val="003C36EB"/>
    <w:rsid w:val="003C3B8D"/>
    <w:rsid w:val="003D3DEB"/>
    <w:rsid w:val="003E33E6"/>
    <w:rsid w:val="003F5603"/>
    <w:rsid w:val="00405D4A"/>
    <w:rsid w:val="00407A09"/>
    <w:rsid w:val="004155DC"/>
    <w:rsid w:val="004218EA"/>
    <w:rsid w:val="004325DD"/>
    <w:rsid w:val="00433271"/>
    <w:rsid w:val="00442C46"/>
    <w:rsid w:val="00451A2E"/>
    <w:rsid w:val="0045553F"/>
    <w:rsid w:val="0045694D"/>
    <w:rsid w:val="00467204"/>
    <w:rsid w:val="00474DA8"/>
    <w:rsid w:val="0047775E"/>
    <w:rsid w:val="00491976"/>
    <w:rsid w:val="00495998"/>
    <w:rsid w:val="004A45D4"/>
    <w:rsid w:val="004C2F94"/>
    <w:rsid w:val="004D7260"/>
    <w:rsid w:val="004F23B3"/>
    <w:rsid w:val="0050340F"/>
    <w:rsid w:val="005041BB"/>
    <w:rsid w:val="00505DCD"/>
    <w:rsid w:val="00517D50"/>
    <w:rsid w:val="0052229F"/>
    <w:rsid w:val="00533525"/>
    <w:rsid w:val="00537F51"/>
    <w:rsid w:val="00547120"/>
    <w:rsid w:val="00547481"/>
    <w:rsid w:val="00552DBD"/>
    <w:rsid w:val="00561C4B"/>
    <w:rsid w:val="00576A82"/>
    <w:rsid w:val="00594D09"/>
    <w:rsid w:val="005A26AD"/>
    <w:rsid w:val="005B0C36"/>
    <w:rsid w:val="005D4F59"/>
    <w:rsid w:val="005F78D7"/>
    <w:rsid w:val="0060374B"/>
    <w:rsid w:val="00621D7D"/>
    <w:rsid w:val="006236C6"/>
    <w:rsid w:val="00630F86"/>
    <w:rsid w:val="00633396"/>
    <w:rsid w:val="00645A0B"/>
    <w:rsid w:val="0065176C"/>
    <w:rsid w:val="006555E6"/>
    <w:rsid w:val="0066084A"/>
    <w:rsid w:val="006727B3"/>
    <w:rsid w:val="00681A31"/>
    <w:rsid w:val="006879CA"/>
    <w:rsid w:val="00693A70"/>
    <w:rsid w:val="00693EE6"/>
    <w:rsid w:val="006B645E"/>
    <w:rsid w:val="006B66A7"/>
    <w:rsid w:val="006B7116"/>
    <w:rsid w:val="006C04C1"/>
    <w:rsid w:val="006C1D12"/>
    <w:rsid w:val="006C209A"/>
    <w:rsid w:val="006E09FB"/>
    <w:rsid w:val="006E0ECA"/>
    <w:rsid w:val="006E2CD6"/>
    <w:rsid w:val="006E7972"/>
    <w:rsid w:val="006F48FD"/>
    <w:rsid w:val="00703DE3"/>
    <w:rsid w:val="00707E99"/>
    <w:rsid w:val="00712450"/>
    <w:rsid w:val="00712E3F"/>
    <w:rsid w:val="00734FBD"/>
    <w:rsid w:val="007543FC"/>
    <w:rsid w:val="00766A86"/>
    <w:rsid w:val="00777B98"/>
    <w:rsid w:val="007868AC"/>
    <w:rsid w:val="007A0801"/>
    <w:rsid w:val="007A7416"/>
    <w:rsid w:val="007D3B93"/>
    <w:rsid w:val="007F6AD4"/>
    <w:rsid w:val="00802769"/>
    <w:rsid w:val="00814F6D"/>
    <w:rsid w:val="00823BF7"/>
    <w:rsid w:val="008471A4"/>
    <w:rsid w:val="00857921"/>
    <w:rsid w:val="008770BE"/>
    <w:rsid w:val="00893AD2"/>
    <w:rsid w:val="008A2F6B"/>
    <w:rsid w:val="008A42E3"/>
    <w:rsid w:val="008A77AB"/>
    <w:rsid w:val="008B41C5"/>
    <w:rsid w:val="008C04DA"/>
    <w:rsid w:val="008C1DBF"/>
    <w:rsid w:val="008C3B1A"/>
    <w:rsid w:val="008D3850"/>
    <w:rsid w:val="008D623F"/>
    <w:rsid w:val="008D7AB0"/>
    <w:rsid w:val="008F4B91"/>
    <w:rsid w:val="0090542C"/>
    <w:rsid w:val="009063C4"/>
    <w:rsid w:val="00911FD5"/>
    <w:rsid w:val="0092076D"/>
    <w:rsid w:val="009350CB"/>
    <w:rsid w:val="009354D4"/>
    <w:rsid w:val="00936A5D"/>
    <w:rsid w:val="009513DD"/>
    <w:rsid w:val="009538AE"/>
    <w:rsid w:val="00970C70"/>
    <w:rsid w:val="009710F4"/>
    <w:rsid w:val="00980267"/>
    <w:rsid w:val="00983CD5"/>
    <w:rsid w:val="009846F1"/>
    <w:rsid w:val="00992E79"/>
    <w:rsid w:val="009A714A"/>
    <w:rsid w:val="009B11A1"/>
    <w:rsid w:val="009C1143"/>
    <w:rsid w:val="009D7EB3"/>
    <w:rsid w:val="009E233A"/>
    <w:rsid w:val="009E48E0"/>
    <w:rsid w:val="00A06A1C"/>
    <w:rsid w:val="00A1406A"/>
    <w:rsid w:val="00A162DE"/>
    <w:rsid w:val="00A17C1E"/>
    <w:rsid w:val="00A2078A"/>
    <w:rsid w:val="00A22D02"/>
    <w:rsid w:val="00A30426"/>
    <w:rsid w:val="00A445C9"/>
    <w:rsid w:val="00A4702E"/>
    <w:rsid w:val="00A50754"/>
    <w:rsid w:val="00A62C20"/>
    <w:rsid w:val="00A67215"/>
    <w:rsid w:val="00A7541A"/>
    <w:rsid w:val="00A76482"/>
    <w:rsid w:val="00A91C5A"/>
    <w:rsid w:val="00A975A7"/>
    <w:rsid w:val="00AB3D95"/>
    <w:rsid w:val="00AC4A99"/>
    <w:rsid w:val="00AF0A33"/>
    <w:rsid w:val="00B05FE8"/>
    <w:rsid w:val="00B11AF6"/>
    <w:rsid w:val="00B1788B"/>
    <w:rsid w:val="00B36DF6"/>
    <w:rsid w:val="00B443DD"/>
    <w:rsid w:val="00B51DB8"/>
    <w:rsid w:val="00B6091D"/>
    <w:rsid w:val="00B62D79"/>
    <w:rsid w:val="00B67225"/>
    <w:rsid w:val="00B70B91"/>
    <w:rsid w:val="00B716F5"/>
    <w:rsid w:val="00B72A06"/>
    <w:rsid w:val="00B766C4"/>
    <w:rsid w:val="00B83A56"/>
    <w:rsid w:val="00B87A46"/>
    <w:rsid w:val="00B900D2"/>
    <w:rsid w:val="00B94BDB"/>
    <w:rsid w:val="00BA2606"/>
    <w:rsid w:val="00BA3FFA"/>
    <w:rsid w:val="00BB4305"/>
    <w:rsid w:val="00BC6635"/>
    <w:rsid w:val="00BD2AFE"/>
    <w:rsid w:val="00BE0127"/>
    <w:rsid w:val="00C022F9"/>
    <w:rsid w:val="00C13793"/>
    <w:rsid w:val="00C209E3"/>
    <w:rsid w:val="00C27220"/>
    <w:rsid w:val="00C30128"/>
    <w:rsid w:val="00C45135"/>
    <w:rsid w:val="00C52450"/>
    <w:rsid w:val="00C64ED1"/>
    <w:rsid w:val="00C65FF9"/>
    <w:rsid w:val="00C66BAA"/>
    <w:rsid w:val="00C80A48"/>
    <w:rsid w:val="00C8175C"/>
    <w:rsid w:val="00C839DC"/>
    <w:rsid w:val="00C95A17"/>
    <w:rsid w:val="00CB32DF"/>
    <w:rsid w:val="00CB4164"/>
    <w:rsid w:val="00CC3246"/>
    <w:rsid w:val="00CC4337"/>
    <w:rsid w:val="00CE3DA1"/>
    <w:rsid w:val="00CE4482"/>
    <w:rsid w:val="00CF6B60"/>
    <w:rsid w:val="00D0283F"/>
    <w:rsid w:val="00D36638"/>
    <w:rsid w:val="00D37745"/>
    <w:rsid w:val="00D3792A"/>
    <w:rsid w:val="00D37BAE"/>
    <w:rsid w:val="00D45642"/>
    <w:rsid w:val="00D7349C"/>
    <w:rsid w:val="00D772AB"/>
    <w:rsid w:val="00D90A00"/>
    <w:rsid w:val="00D91845"/>
    <w:rsid w:val="00D9371C"/>
    <w:rsid w:val="00DA589A"/>
    <w:rsid w:val="00DB3D2E"/>
    <w:rsid w:val="00DB3FD0"/>
    <w:rsid w:val="00DB4EB8"/>
    <w:rsid w:val="00DB6F5A"/>
    <w:rsid w:val="00DC1DC8"/>
    <w:rsid w:val="00DE5E12"/>
    <w:rsid w:val="00DF4C34"/>
    <w:rsid w:val="00E016EA"/>
    <w:rsid w:val="00E048CF"/>
    <w:rsid w:val="00E2276E"/>
    <w:rsid w:val="00E41038"/>
    <w:rsid w:val="00E41950"/>
    <w:rsid w:val="00E50A9C"/>
    <w:rsid w:val="00E51F90"/>
    <w:rsid w:val="00E52DF7"/>
    <w:rsid w:val="00E569CB"/>
    <w:rsid w:val="00E577A2"/>
    <w:rsid w:val="00E60A53"/>
    <w:rsid w:val="00E66713"/>
    <w:rsid w:val="00E71BE7"/>
    <w:rsid w:val="00E733A5"/>
    <w:rsid w:val="00E753EC"/>
    <w:rsid w:val="00E84459"/>
    <w:rsid w:val="00E971A2"/>
    <w:rsid w:val="00EB7B0D"/>
    <w:rsid w:val="00EB7C94"/>
    <w:rsid w:val="00ED257A"/>
    <w:rsid w:val="00ED57B4"/>
    <w:rsid w:val="00EE1A41"/>
    <w:rsid w:val="00EF3B6C"/>
    <w:rsid w:val="00F23AC2"/>
    <w:rsid w:val="00F3057A"/>
    <w:rsid w:val="00F30E9C"/>
    <w:rsid w:val="00F30FB1"/>
    <w:rsid w:val="00F46047"/>
    <w:rsid w:val="00F54931"/>
    <w:rsid w:val="00F55E4D"/>
    <w:rsid w:val="00F61752"/>
    <w:rsid w:val="00F90474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C8512F9"/>
  <w15:docId w15:val="{90DD5D5E-129E-4BDE-AC0D-6D635B80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3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98B0-CAF9-417D-84A9-BD452D33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2</TotalTime>
  <Pages>4</Pages>
  <Words>890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GX0620</dc:creator>
  <cp:lastModifiedBy>Gornall, Clare</cp:lastModifiedBy>
  <cp:revision>2</cp:revision>
  <cp:lastPrinted>2018-03-14T11:21:00Z</cp:lastPrinted>
  <dcterms:created xsi:type="dcterms:W3CDTF">2020-09-25T08:05:00Z</dcterms:created>
  <dcterms:modified xsi:type="dcterms:W3CDTF">2020-09-25T08:05:00Z</dcterms:modified>
</cp:coreProperties>
</file>