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0917D6" w:rsidRPr="009E2B84" w14:paraId="1607E677" w14:textId="77777777" w:rsidTr="00CA1F46">
        <w:trPr>
          <w:gridAfter w:val="1"/>
          <w:wAfter w:w="2835" w:type="dxa"/>
          <w:cantSplit/>
          <w:trHeight w:val="569"/>
        </w:trPr>
        <w:tc>
          <w:tcPr>
            <w:tcW w:w="4786" w:type="dxa"/>
            <w:shd w:val="clear" w:color="auto" w:fill="BFBFBF"/>
            <w:vAlign w:val="center"/>
          </w:tcPr>
          <w:p w14:paraId="1607E675" w14:textId="77777777" w:rsidR="000917D6" w:rsidRPr="009E2B84" w:rsidRDefault="000917D6" w:rsidP="00CA1F46">
            <w:pPr>
              <w:keepNext/>
              <w:shd w:val="clear" w:color="auto" w:fill="BFBFBF"/>
              <w:jc w:val="center"/>
              <w:outlineLvl w:val="0"/>
              <w:rPr>
                <w:b/>
              </w:rPr>
            </w:pPr>
            <w:r>
              <w:rPr>
                <w:noProof/>
              </w:rPr>
              <w:drawing>
                <wp:anchor distT="0" distB="0" distL="114300" distR="114300" simplePos="0" relativeHeight="251659264" behindDoc="1" locked="0" layoutInCell="0" allowOverlap="1" wp14:anchorId="1607E705" wp14:editId="1607E706">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1607E676" w14:textId="77777777" w:rsidR="000917D6" w:rsidRPr="009E2B84" w:rsidRDefault="000917D6" w:rsidP="00CA1F46">
            <w:pPr>
              <w:jc w:val="center"/>
              <w:rPr>
                <w:b/>
              </w:rPr>
            </w:pPr>
            <w:r w:rsidRPr="009E2B84">
              <w:rPr>
                <w:b/>
              </w:rPr>
              <w:t>ON</w:t>
            </w:r>
          </w:p>
        </w:tc>
      </w:tr>
      <w:tr w:rsidR="000917D6" w:rsidRPr="00711E5D" w14:paraId="1607E67A" w14:textId="77777777" w:rsidTr="00CA1F46">
        <w:trPr>
          <w:gridAfter w:val="1"/>
          <w:wAfter w:w="2835" w:type="dxa"/>
          <w:cantSplit/>
          <w:trHeight w:val="654"/>
        </w:trPr>
        <w:tc>
          <w:tcPr>
            <w:tcW w:w="4786" w:type="dxa"/>
            <w:tcBorders>
              <w:bottom w:val="nil"/>
            </w:tcBorders>
            <w:vAlign w:val="center"/>
          </w:tcPr>
          <w:p w14:paraId="1607E678" w14:textId="2683447A" w:rsidR="000917D6" w:rsidRPr="00711E5D" w:rsidRDefault="00711E5D" w:rsidP="00CA1F46">
            <w:pPr>
              <w:jc w:val="center"/>
              <w:rPr>
                <w:szCs w:val="22"/>
              </w:rPr>
            </w:pPr>
            <w:r w:rsidRPr="00711E5D">
              <w:rPr>
                <w:szCs w:val="22"/>
              </w:rPr>
              <w:t xml:space="preserve">Council </w:t>
            </w:r>
          </w:p>
        </w:tc>
        <w:tc>
          <w:tcPr>
            <w:tcW w:w="2268" w:type="dxa"/>
            <w:gridSpan w:val="2"/>
            <w:tcBorders>
              <w:bottom w:val="nil"/>
            </w:tcBorders>
            <w:vAlign w:val="center"/>
          </w:tcPr>
          <w:p w14:paraId="1607E679" w14:textId="5DC1B0B9" w:rsidR="000917D6" w:rsidRPr="00711E5D" w:rsidRDefault="00711E5D" w:rsidP="00711E5D">
            <w:pPr>
              <w:jc w:val="center"/>
            </w:pPr>
            <w:r w:rsidRPr="00711E5D">
              <w:t>25</w:t>
            </w:r>
            <w:r w:rsidR="005A0CED" w:rsidRPr="00711E5D">
              <w:t xml:space="preserve"> September 2019</w:t>
            </w:r>
          </w:p>
        </w:tc>
      </w:tr>
      <w:tr w:rsidR="000917D6" w:rsidRPr="009E2B84" w14:paraId="1607E67C" w14:textId="77777777" w:rsidTr="00CA1F46">
        <w:trPr>
          <w:gridAfter w:val="1"/>
          <w:wAfter w:w="2835" w:type="dxa"/>
          <w:cantSplit/>
          <w:trHeight w:val="560"/>
        </w:trPr>
        <w:tc>
          <w:tcPr>
            <w:tcW w:w="7054" w:type="dxa"/>
            <w:gridSpan w:val="3"/>
            <w:tcBorders>
              <w:left w:val="nil"/>
              <w:right w:val="nil"/>
            </w:tcBorders>
          </w:tcPr>
          <w:p w14:paraId="1607E67B" w14:textId="77777777" w:rsidR="000917D6" w:rsidRPr="009E2B84" w:rsidRDefault="000917D6" w:rsidP="00CA1F46">
            <w:pPr>
              <w:jc w:val="right"/>
              <w:rPr>
                <w:sz w:val="8"/>
              </w:rPr>
            </w:pPr>
          </w:p>
        </w:tc>
      </w:tr>
      <w:tr w:rsidR="000917D6" w:rsidRPr="009E2B84" w14:paraId="1607E67F" w14:textId="77777777" w:rsidTr="00CA1F46">
        <w:trPr>
          <w:cantSplit/>
        </w:trPr>
        <w:tc>
          <w:tcPr>
            <w:tcW w:w="6912" w:type="dxa"/>
            <w:gridSpan w:val="2"/>
            <w:shd w:val="clear" w:color="auto" w:fill="BFBFBF"/>
            <w:vAlign w:val="center"/>
          </w:tcPr>
          <w:p w14:paraId="1607E67D" w14:textId="77777777" w:rsidR="000917D6" w:rsidRPr="009E2B84" w:rsidRDefault="000917D6" w:rsidP="00CA1F46">
            <w:pPr>
              <w:jc w:val="center"/>
              <w:rPr>
                <w:b/>
              </w:rPr>
            </w:pPr>
            <w:r w:rsidRPr="009E2B84">
              <w:rPr>
                <w:b/>
              </w:rPr>
              <w:t>TITLE</w:t>
            </w:r>
          </w:p>
        </w:tc>
        <w:tc>
          <w:tcPr>
            <w:tcW w:w="2977" w:type="dxa"/>
            <w:gridSpan w:val="2"/>
            <w:shd w:val="clear" w:color="auto" w:fill="BFBFBF"/>
            <w:vAlign w:val="center"/>
          </w:tcPr>
          <w:p w14:paraId="1607E67E" w14:textId="77777777" w:rsidR="000917D6" w:rsidRPr="009E2B84" w:rsidRDefault="000917D6" w:rsidP="00CA1F46">
            <w:pPr>
              <w:jc w:val="center"/>
              <w:rPr>
                <w:b/>
              </w:rPr>
            </w:pPr>
            <w:r>
              <w:rPr>
                <w:b/>
              </w:rPr>
              <w:t>REPORT OF</w:t>
            </w:r>
          </w:p>
        </w:tc>
      </w:tr>
      <w:tr w:rsidR="000917D6" w:rsidRPr="009E2B84" w14:paraId="1607E683" w14:textId="77777777" w:rsidTr="00CA1F46">
        <w:trPr>
          <w:cantSplit/>
          <w:trHeight w:val="667"/>
        </w:trPr>
        <w:tc>
          <w:tcPr>
            <w:tcW w:w="6912" w:type="dxa"/>
            <w:gridSpan w:val="2"/>
            <w:vAlign w:val="center"/>
          </w:tcPr>
          <w:p w14:paraId="1607E680" w14:textId="77777777" w:rsidR="000917D6" w:rsidRPr="00711E5D" w:rsidRDefault="000917D6" w:rsidP="00CA1F46"/>
          <w:p w14:paraId="1607E681" w14:textId="77777777" w:rsidR="000917D6" w:rsidRPr="00711E5D" w:rsidRDefault="005A0CED" w:rsidP="00CA1F46">
            <w:r w:rsidRPr="00711E5D">
              <w:t>Mobile Homes Fees Policy</w:t>
            </w:r>
          </w:p>
        </w:tc>
        <w:tc>
          <w:tcPr>
            <w:tcW w:w="2977" w:type="dxa"/>
            <w:gridSpan w:val="2"/>
            <w:vAlign w:val="center"/>
          </w:tcPr>
          <w:p w14:paraId="1607E682" w14:textId="77777777" w:rsidR="000917D6" w:rsidRPr="00711E5D" w:rsidRDefault="000917D6" w:rsidP="00CA1F46">
            <w:r w:rsidRPr="00711E5D">
              <w:t>Head of Licensing</w:t>
            </w:r>
          </w:p>
        </w:tc>
      </w:tr>
    </w:tbl>
    <w:p w14:paraId="1607E684" w14:textId="77777777" w:rsidR="002F5C5E" w:rsidRPr="009E2B84" w:rsidRDefault="000917D6" w:rsidP="002F5C5E">
      <w:r>
        <w:br w:type="textWrapping" w:clear="all"/>
      </w:r>
    </w:p>
    <w:p w14:paraId="1607E685" w14:textId="77777777" w:rsidR="002F5C5E" w:rsidRDefault="002F5C5E"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47741D" w:rsidRPr="009C1143" w14:paraId="1607E689" w14:textId="77777777" w:rsidTr="00E2196F">
        <w:tc>
          <w:tcPr>
            <w:tcW w:w="6652" w:type="dxa"/>
            <w:shd w:val="clear" w:color="auto" w:fill="auto"/>
          </w:tcPr>
          <w:p w14:paraId="1607E686" w14:textId="77777777" w:rsidR="0047741D" w:rsidRDefault="0047741D" w:rsidP="00E2196F">
            <w:pPr>
              <w:rPr>
                <w:szCs w:val="22"/>
              </w:rPr>
            </w:pPr>
          </w:p>
          <w:p w14:paraId="1607E687" w14:textId="279182DC" w:rsidR="0047741D" w:rsidRPr="009C1143" w:rsidRDefault="0047741D" w:rsidP="00E2196F">
            <w:pPr>
              <w:rPr>
                <w:szCs w:val="22"/>
              </w:rPr>
            </w:pPr>
            <w:r>
              <w:rPr>
                <w:szCs w:val="22"/>
              </w:rPr>
              <w:t>Is this report confidential?</w:t>
            </w:r>
            <w:r w:rsidR="001E323B">
              <w:rPr>
                <w:szCs w:val="22"/>
              </w:rPr>
              <w:t xml:space="preserve"> </w:t>
            </w:r>
            <w:r w:rsidR="00711E5D">
              <w:rPr>
                <w:szCs w:val="22"/>
              </w:rPr>
              <w:t xml:space="preserve"> </w:t>
            </w:r>
          </w:p>
        </w:tc>
        <w:tc>
          <w:tcPr>
            <w:tcW w:w="3266" w:type="dxa"/>
            <w:shd w:val="clear" w:color="auto" w:fill="auto"/>
          </w:tcPr>
          <w:p w14:paraId="14560000" w14:textId="77777777" w:rsidR="0047741D" w:rsidRDefault="0047741D" w:rsidP="007B14EE">
            <w:pPr>
              <w:autoSpaceDE w:val="0"/>
              <w:autoSpaceDN w:val="0"/>
              <w:adjustRightInd w:val="0"/>
              <w:rPr>
                <w:szCs w:val="22"/>
              </w:rPr>
            </w:pPr>
          </w:p>
          <w:p w14:paraId="1607E688" w14:textId="4860CF25" w:rsidR="00711E5D" w:rsidRPr="009C1143" w:rsidRDefault="00711E5D" w:rsidP="007B14EE">
            <w:pPr>
              <w:autoSpaceDE w:val="0"/>
              <w:autoSpaceDN w:val="0"/>
              <w:adjustRightInd w:val="0"/>
              <w:rPr>
                <w:szCs w:val="22"/>
              </w:rPr>
            </w:pPr>
            <w:r>
              <w:rPr>
                <w:szCs w:val="22"/>
              </w:rPr>
              <w:t>No</w:t>
            </w:r>
          </w:p>
        </w:tc>
      </w:tr>
    </w:tbl>
    <w:p w14:paraId="1607E68A" w14:textId="77777777" w:rsidR="0047741D" w:rsidRDefault="0047741D" w:rsidP="002F5C5E">
      <w:pPr>
        <w:rPr>
          <w:sz w:val="16"/>
          <w:szCs w:val="16"/>
        </w:rPr>
      </w:pPr>
    </w:p>
    <w:p w14:paraId="1607E68B" w14:textId="77777777" w:rsidR="00EB2D32" w:rsidRPr="009C1143" w:rsidRDefault="00EB2D32" w:rsidP="002F5C5E">
      <w:pPr>
        <w:rPr>
          <w:sz w:val="16"/>
          <w:szCs w:val="16"/>
        </w:rPr>
      </w:pPr>
    </w:p>
    <w:p w14:paraId="1607E68C" w14:textId="77777777" w:rsidR="002F5C5E" w:rsidRDefault="002F5C5E" w:rsidP="00186024">
      <w:pPr>
        <w:keepNext/>
        <w:outlineLvl w:val="0"/>
        <w:rPr>
          <w:b/>
          <w:szCs w:val="22"/>
        </w:rPr>
      </w:pPr>
      <w:r w:rsidRPr="009C1143">
        <w:rPr>
          <w:b/>
          <w:szCs w:val="22"/>
        </w:rPr>
        <w:t xml:space="preserve">PURPOSE OF THE REPORT  </w:t>
      </w:r>
    </w:p>
    <w:p w14:paraId="1607E68D" w14:textId="77777777" w:rsidR="002F5C5E" w:rsidRPr="002B2179" w:rsidRDefault="002F5C5E" w:rsidP="002F5C5E">
      <w:pPr>
        <w:rPr>
          <w:rFonts w:cs="Arial"/>
          <w:sz w:val="16"/>
          <w:szCs w:val="16"/>
        </w:rPr>
      </w:pPr>
    </w:p>
    <w:p w14:paraId="1607E68E" w14:textId="3B23A3F2" w:rsidR="001E323B" w:rsidRPr="00186024" w:rsidRDefault="002B2179" w:rsidP="00186024">
      <w:pPr>
        <w:pStyle w:val="ListParagraph"/>
        <w:numPr>
          <w:ilvl w:val="0"/>
          <w:numId w:val="8"/>
        </w:numPr>
        <w:rPr>
          <w:rFonts w:ascii="Arial" w:hAnsi="Arial" w:cs="Arial"/>
        </w:rPr>
      </w:pPr>
      <w:r w:rsidRPr="00186024">
        <w:rPr>
          <w:rFonts w:ascii="Arial" w:hAnsi="Arial" w:cs="Arial"/>
        </w:rPr>
        <w:t>To</w:t>
      </w:r>
      <w:r w:rsidR="005A0CED" w:rsidRPr="00186024">
        <w:rPr>
          <w:rFonts w:ascii="Arial" w:hAnsi="Arial" w:cs="Arial"/>
        </w:rPr>
        <w:t xml:space="preserve"> review the exi</w:t>
      </w:r>
      <w:r w:rsidR="001F443A" w:rsidRPr="00186024">
        <w:rPr>
          <w:rFonts w:ascii="Arial" w:hAnsi="Arial" w:cs="Arial"/>
        </w:rPr>
        <w:t>s</w:t>
      </w:r>
      <w:r w:rsidR="005A0CED" w:rsidRPr="00186024">
        <w:rPr>
          <w:rFonts w:ascii="Arial" w:hAnsi="Arial" w:cs="Arial"/>
        </w:rPr>
        <w:t xml:space="preserve">ting fees policy and extend the current structure relating to fees for a further </w:t>
      </w:r>
      <w:r w:rsidR="00C71AE4">
        <w:rPr>
          <w:rFonts w:ascii="Arial" w:hAnsi="Arial" w:cs="Arial"/>
        </w:rPr>
        <w:t>three</w:t>
      </w:r>
      <w:r w:rsidR="005A0CED" w:rsidRPr="00186024">
        <w:rPr>
          <w:rFonts w:ascii="Arial" w:hAnsi="Arial" w:cs="Arial"/>
        </w:rPr>
        <w:t xml:space="preserve"> years.</w:t>
      </w:r>
      <w:r w:rsidR="007B14EE" w:rsidRPr="00186024">
        <w:rPr>
          <w:rFonts w:ascii="Arial" w:hAnsi="Arial" w:cs="Arial"/>
        </w:rPr>
        <w:t xml:space="preserve"> </w:t>
      </w:r>
    </w:p>
    <w:p w14:paraId="1607E68F" w14:textId="77777777" w:rsidR="002F5C5E" w:rsidRPr="009C4544" w:rsidRDefault="002F5C5E" w:rsidP="002F5C5E">
      <w:pPr>
        <w:rPr>
          <w:rFonts w:asciiTheme="minorHAnsi" w:hAnsiTheme="minorHAnsi"/>
          <w:szCs w:val="22"/>
        </w:rPr>
      </w:pPr>
    </w:p>
    <w:p w14:paraId="1607E690" w14:textId="77777777" w:rsidR="002F5C5E" w:rsidRPr="00AE7D36" w:rsidRDefault="002F5C5E" w:rsidP="00186024">
      <w:pPr>
        <w:keepNext/>
        <w:outlineLvl w:val="0"/>
        <w:rPr>
          <w:rFonts w:cs="Arial"/>
          <w:b/>
          <w:szCs w:val="22"/>
        </w:rPr>
      </w:pPr>
      <w:r w:rsidRPr="00AE7D36">
        <w:rPr>
          <w:rFonts w:cs="Arial"/>
          <w:b/>
          <w:szCs w:val="22"/>
        </w:rPr>
        <w:t>RECOMMENDATIONS</w:t>
      </w:r>
    </w:p>
    <w:p w14:paraId="1607E691" w14:textId="77777777" w:rsidR="000B5251" w:rsidRPr="009C4544" w:rsidRDefault="000B5251" w:rsidP="000B5251">
      <w:pPr>
        <w:keepNext/>
        <w:ind w:left="360"/>
        <w:outlineLvl w:val="0"/>
        <w:rPr>
          <w:rFonts w:asciiTheme="minorHAnsi" w:hAnsiTheme="minorHAnsi"/>
          <w:b/>
          <w:szCs w:val="22"/>
        </w:rPr>
      </w:pPr>
    </w:p>
    <w:p w14:paraId="1607E692" w14:textId="77777777" w:rsidR="001F443A" w:rsidRPr="00186024" w:rsidRDefault="00047F24" w:rsidP="00186024">
      <w:pPr>
        <w:pStyle w:val="ListParagraph"/>
        <w:numPr>
          <w:ilvl w:val="0"/>
          <w:numId w:val="8"/>
        </w:numPr>
        <w:rPr>
          <w:rFonts w:ascii="Arial" w:hAnsi="Arial" w:cs="Arial"/>
        </w:rPr>
      </w:pPr>
      <w:r w:rsidRPr="00186024">
        <w:rPr>
          <w:rFonts w:ascii="Arial" w:hAnsi="Arial" w:cs="Arial"/>
        </w:rPr>
        <w:t xml:space="preserve">To note the contents </w:t>
      </w:r>
      <w:r w:rsidR="00672165" w:rsidRPr="00186024">
        <w:rPr>
          <w:rFonts w:ascii="Arial" w:hAnsi="Arial" w:cs="Arial"/>
        </w:rPr>
        <w:t xml:space="preserve">of the report </w:t>
      </w:r>
      <w:r w:rsidR="001F443A" w:rsidRPr="00186024">
        <w:rPr>
          <w:rFonts w:ascii="Arial" w:hAnsi="Arial" w:cs="Arial"/>
        </w:rPr>
        <w:t xml:space="preserve">and to consider any responses to the consultation </w:t>
      </w:r>
    </w:p>
    <w:p w14:paraId="1607E693" w14:textId="5535A1AF" w:rsidR="001E323B" w:rsidRPr="00186024" w:rsidRDefault="001F443A" w:rsidP="00186024">
      <w:pPr>
        <w:pStyle w:val="ListParagraph"/>
        <w:numPr>
          <w:ilvl w:val="0"/>
          <w:numId w:val="8"/>
        </w:numPr>
        <w:rPr>
          <w:rFonts w:ascii="Arial" w:hAnsi="Arial" w:cs="Arial"/>
        </w:rPr>
      </w:pPr>
      <w:r w:rsidRPr="00186024">
        <w:rPr>
          <w:rFonts w:ascii="Arial" w:hAnsi="Arial" w:cs="Arial"/>
        </w:rPr>
        <w:t xml:space="preserve">To </w:t>
      </w:r>
      <w:r w:rsidR="005A0CED" w:rsidRPr="00186024">
        <w:rPr>
          <w:rFonts w:ascii="Arial" w:hAnsi="Arial" w:cs="Arial"/>
        </w:rPr>
        <w:t xml:space="preserve">agree </w:t>
      </w:r>
      <w:r w:rsidR="00E6563D" w:rsidRPr="00186024">
        <w:rPr>
          <w:rFonts w:ascii="Arial" w:hAnsi="Arial" w:cs="Arial"/>
        </w:rPr>
        <w:t xml:space="preserve">to extend the current </w:t>
      </w:r>
      <w:r w:rsidR="005A0CED" w:rsidRPr="00186024">
        <w:rPr>
          <w:rFonts w:ascii="Arial" w:hAnsi="Arial" w:cs="Arial"/>
        </w:rPr>
        <w:t xml:space="preserve"> </w:t>
      </w:r>
      <w:r w:rsidR="00E6563D" w:rsidRPr="00186024">
        <w:rPr>
          <w:rFonts w:ascii="Arial" w:hAnsi="Arial" w:cs="Arial"/>
        </w:rPr>
        <w:t xml:space="preserve">fee structure for a further </w:t>
      </w:r>
      <w:r w:rsidR="00C71AE4">
        <w:rPr>
          <w:rFonts w:ascii="Arial" w:hAnsi="Arial" w:cs="Arial"/>
        </w:rPr>
        <w:t>years.</w:t>
      </w:r>
    </w:p>
    <w:p w14:paraId="1607E694" w14:textId="77777777" w:rsidR="002F5C5E" w:rsidRPr="009C4544" w:rsidRDefault="002F5C5E" w:rsidP="002F5C5E">
      <w:pPr>
        <w:rPr>
          <w:rFonts w:asciiTheme="minorHAnsi" w:hAnsiTheme="minorHAnsi"/>
          <w:sz w:val="16"/>
          <w:szCs w:val="16"/>
        </w:rPr>
      </w:pPr>
    </w:p>
    <w:p w14:paraId="1607E695" w14:textId="77777777" w:rsidR="002F5C5E" w:rsidRPr="00AE7D36" w:rsidRDefault="002F5C5E" w:rsidP="00186024">
      <w:pPr>
        <w:keepNext/>
        <w:outlineLvl w:val="0"/>
        <w:rPr>
          <w:rFonts w:cs="Arial"/>
          <w:b/>
          <w:szCs w:val="22"/>
        </w:rPr>
      </w:pPr>
      <w:r w:rsidRPr="00AE7D36">
        <w:rPr>
          <w:rFonts w:cs="Arial"/>
          <w:b/>
          <w:szCs w:val="22"/>
        </w:rPr>
        <w:t>CORPORATE PRIORITIES</w:t>
      </w:r>
    </w:p>
    <w:p w14:paraId="1607E696" w14:textId="77777777" w:rsidR="00772B9C" w:rsidRPr="009C4544" w:rsidRDefault="00772B9C" w:rsidP="00772B9C">
      <w:pPr>
        <w:keepNext/>
        <w:outlineLvl w:val="0"/>
        <w:rPr>
          <w:rFonts w:asciiTheme="minorHAnsi" w:hAnsiTheme="minorHAnsi"/>
          <w:b/>
          <w:szCs w:val="22"/>
        </w:rPr>
      </w:pPr>
    </w:p>
    <w:p w14:paraId="1607E697" w14:textId="77777777" w:rsidR="00772B9C" w:rsidRPr="00B25D02" w:rsidRDefault="00772B9C" w:rsidP="00772B9C">
      <w:pPr>
        <w:keepNext/>
        <w:ind w:left="360"/>
        <w:outlineLvl w:val="0"/>
        <w:rPr>
          <w:rFonts w:cs="Arial"/>
          <w:i/>
          <w:color w:val="2E74B5"/>
          <w:szCs w:val="22"/>
        </w:rPr>
      </w:pPr>
      <w:r w:rsidRPr="00B25D02">
        <w:rPr>
          <w:rFonts w:cs="Arial"/>
          <w:szCs w:val="22"/>
        </w:rPr>
        <w:t>The report relates to the following corporate priorities:</w:t>
      </w:r>
    </w:p>
    <w:p w14:paraId="1607E698" w14:textId="77777777" w:rsidR="00772B9C" w:rsidRPr="00B25D02" w:rsidRDefault="00772B9C" w:rsidP="00772B9C">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772B9C" w:rsidRPr="00711E5D" w14:paraId="1607E69C" w14:textId="77777777" w:rsidTr="000E4458">
        <w:tc>
          <w:tcPr>
            <w:tcW w:w="4423" w:type="dxa"/>
            <w:shd w:val="clear" w:color="auto" w:fill="auto"/>
          </w:tcPr>
          <w:p w14:paraId="1607E699" w14:textId="77777777" w:rsidR="00772B9C" w:rsidRPr="00711E5D" w:rsidRDefault="00772B9C" w:rsidP="000E4458">
            <w:pPr>
              <w:rPr>
                <w:rFonts w:cs="Arial"/>
                <w:szCs w:val="22"/>
              </w:rPr>
            </w:pPr>
            <w:r w:rsidRPr="00711E5D">
              <w:rPr>
                <w:rFonts w:cs="Arial"/>
                <w:szCs w:val="22"/>
              </w:rPr>
              <w:t>Excellence and Financial Sustainability</w:t>
            </w:r>
          </w:p>
          <w:p w14:paraId="1607E69A" w14:textId="77777777" w:rsidR="00772B9C" w:rsidRPr="00711E5D" w:rsidRDefault="00772B9C" w:rsidP="000E4458">
            <w:pPr>
              <w:rPr>
                <w:rFonts w:cs="Arial"/>
                <w:szCs w:val="22"/>
              </w:rPr>
            </w:pPr>
          </w:p>
        </w:tc>
        <w:tc>
          <w:tcPr>
            <w:tcW w:w="850" w:type="dxa"/>
            <w:shd w:val="clear" w:color="auto" w:fill="auto"/>
          </w:tcPr>
          <w:p w14:paraId="1607E69B" w14:textId="77777777" w:rsidR="008F7550" w:rsidRPr="00711E5D" w:rsidRDefault="00A25A6A" w:rsidP="007B14EE">
            <w:pPr>
              <w:rPr>
                <w:rFonts w:cs="Arial"/>
                <w:szCs w:val="22"/>
              </w:rPr>
            </w:pPr>
            <w:r w:rsidRPr="00711E5D">
              <w:rPr>
                <w:rFonts w:cs="Arial"/>
                <w:szCs w:val="22"/>
              </w:rPr>
              <w:t>X</w:t>
            </w:r>
          </w:p>
        </w:tc>
      </w:tr>
      <w:tr w:rsidR="00772B9C" w:rsidRPr="00711E5D" w14:paraId="1607E6A0" w14:textId="77777777" w:rsidTr="000E4458">
        <w:tc>
          <w:tcPr>
            <w:tcW w:w="4423" w:type="dxa"/>
            <w:shd w:val="clear" w:color="auto" w:fill="auto"/>
          </w:tcPr>
          <w:p w14:paraId="1607E69D" w14:textId="77777777" w:rsidR="00772B9C" w:rsidRPr="00711E5D" w:rsidRDefault="00772B9C" w:rsidP="000E4458">
            <w:pPr>
              <w:rPr>
                <w:rFonts w:cs="Arial"/>
                <w:szCs w:val="22"/>
              </w:rPr>
            </w:pPr>
            <w:r w:rsidRPr="00711E5D">
              <w:rPr>
                <w:rFonts w:cs="Arial"/>
                <w:szCs w:val="22"/>
              </w:rPr>
              <w:t>Health and Wellbeing</w:t>
            </w:r>
          </w:p>
          <w:p w14:paraId="1607E69E" w14:textId="77777777" w:rsidR="00772B9C" w:rsidRPr="00711E5D" w:rsidRDefault="00772B9C" w:rsidP="000E4458">
            <w:pPr>
              <w:rPr>
                <w:rFonts w:cs="Arial"/>
                <w:szCs w:val="22"/>
              </w:rPr>
            </w:pPr>
          </w:p>
        </w:tc>
        <w:tc>
          <w:tcPr>
            <w:tcW w:w="850" w:type="dxa"/>
            <w:shd w:val="clear" w:color="auto" w:fill="auto"/>
          </w:tcPr>
          <w:p w14:paraId="1607E69F" w14:textId="77777777" w:rsidR="00772B9C" w:rsidRPr="00711E5D" w:rsidRDefault="00A25A6A" w:rsidP="000E4458">
            <w:pPr>
              <w:rPr>
                <w:rFonts w:cs="Arial"/>
                <w:szCs w:val="22"/>
              </w:rPr>
            </w:pPr>
            <w:r w:rsidRPr="00711E5D">
              <w:rPr>
                <w:rFonts w:cs="Arial"/>
                <w:szCs w:val="22"/>
              </w:rPr>
              <w:t>X</w:t>
            </w:r>
          </w:p>
        </w:tc>
      </w:tr>
      <w:tr w:rsidR="00772B9C" w:rsidRPr="00711E5D" w14:paraId="1607E6A4" w14:textId="77777777" w:rsidTr="000E4458">
        <w:tc>
          <w:tcPr>
            <w:tcW w:w="4423" w:type="dxa"/>
            <w:shd w:val="clear" w:color="auto" w:fill="auto"/>
          </w:tcPr>
          <w:p w14:paraId="1607E6A1" w14:textId="77777777" w:rsidR="00772B9C" w:rsidRPr="00711E5D" w:rsidRDefault="00772B9C" w:rsidP="000E4458">
            <w:pPr>
              <w:rPr>
                <w:rFonts w:cs="Arial"/>
                <w:szCs w:val="22"/>
              </w:rPr>
            </w:pPr>
            <w:r w:rsidRPr="00711E5D">
              <w:rPr>
                <w:rFonts w:cs="Arial"/>
                <w:szCs w:val="22"/>
              </w:rPr>
              <w:t>Place</w:t>
            </w:r>
          </w:p>
          <w:p w14:paraId="1607E6A2" w14:textId="77777777" w:rsidR="00772B9C" w:rsidRPr="00711E5D" w:rsidRDefault="00772B9C" w:rsidP="000E4458">
            <w:pPr>
              <w:rPr>
                <w:rFonts w:cs="Arial"/>
                <w:szCs w:val="22"/>
              </w:rPr>
            </w:pPr>
          </w:p>
        </w:tc>
        <w:tc>
          <w:tcPr>
            <w:tcW w:w="850" w:type="dxa"/>
            <w:shd w:val="clear" w:color="auto" w:fill="auto"/>
          </w:tcPr>
          <w:p w14:paraId="1607E6A3" w14:textId="77777777" w:rsidR="00772B9C" w:rsidRPr="00711E5D" w:rsidRDefault="00A25A6A" w:rsidP="000E4458">
            <w:pPr>
              <w:rPr>
                <w:rFonts w:cs="Arial"/>
                <w:szCs w:val="22"/>
              </w:rPr>
            </w:pPr>
            <w:r w:rsidRPr="00711E5D">
              <w:rPr>
                <w:rFonts w:cs="Arial"/>
                <w:szCs w:val="22"/>
              </w:rPr>
              <w:t>X</w:t>
            </w:r>
          </w:p>
        </w:tc>
      </w:tr>
    </w:tbl>
    <w:p w14:paraId="1607E6A5" w14:textId="77777777" w:rsidR="00772B9C" w:rsidRPr="009C4544" w:rsidRDefault="00772B9C" w:rsidP="002F5C5E">
      <w:pPr>
        <w:rPr>
          <w:rFonts w:asciiTheme="minorHAnsi" w:hAnsiTheme="minorHAnsi"/>
          <w:szCs w:val="22"/>
        </w:rPr>
      </w:pPr>
    </w:p>
    <w:p w14:paraId="1607E6A6" w14:textId="77777777" w:rsidR="002F5C5E" w:rsidRPr="00186024" w:rsidRDefault="002F5C5E" w:rsidP="00186024">
      <w:pPr>
        <w:rPr>
          <w:rFonts w:cs="Arial"/>
          <w:b/>
        </w:rPr>
      </w:pPr>
      <w:r w:rsidRPr="00186024">
        <w:rPr>
          <w:rFonts w:cs="Arial"/>
          <w:b/>
        </w:rPr>
        <w:t>BACKGROUND TO THE REPORT</w:t>
      </w:r>
    </w:p>
    <w:p w14:paraId="1607E6A7" w14:textId="77777777" w:rsidR="00FC6A1D" w:rsidRPr="00C42883" w:rsidRDefault="00FC6A1D" w:rsidP="00FC6A1D">
      <w:pPr>
        <w:pStyle w:val="ListParagraph"/>
        <w:ind w:left="360"/>
        <w:rPr>
          <w:rFonts w:asciiTheme="minorHAnsi" w:hAnsiTheme="minorHAnsi"/>
          <w:b/>
        </w:rPr>
      </w:pPr>
    </w:p>
    <w:p w14:paraId="1607E6A8" w14:textId="02EE635F" w:rsidR="007B14EE" w:rsidRPr="00186024" w:rsidRDefault="005A0CED" w:rsidP="00186024">
      <w:pPr>
        <w:pStyle w:val="ListParagraph"/>
        <w:numPr>
          <w:ilvl w:val="0"/>
          <w:numId w:val="8"/>
        </w:numPr>
        <w:autoSpaceDE w:val="0"/>
        <w:autoSpaceDN w:val="0"/>
        <w:adjustRightInd w:val="0"/>
        <w:rPr>
          <w:rFonts w:ascii="ArialMT" w:eastAsiaTheme="minorHAnsi" w:hAnsi="ArialMT" w:cs="ArialMT"/>
        </w:rPr>
      </w:pPr>
      <w:r w:rsidRPr="00186024">
        <w:rPr>
          <w:rFonts w:ascii="ArialMT" w:eastAsiaTheme="minorHAnsi" w:hAnsi="ArialMT" w:cs="ArialMT"/>
        </w:rPr>
        <w:t xml:space="preserve">In February 2018 member’s received an extensive report regarding the adoption </w:t>
      </w:r>
      <w:r w:rsidR="00CD6256" w:rsidRPr="00186024">
        <w:rPr>
          <w:rFonts w:ascii="ArialMT" w:eastAsiaTheme="minorHAnsi" w:hAnsi="ArialMT" w:cs="ArialMT"/>
        </w:rPr>
        <w:t>of the Model Standards 2008 along</w:t>
      </w:r>
      <w:r w:rsidRPr="00186024">
        <w:rPr>
          <w:rFonts w:ascii="ArialMT" w:eastAsiaTheme="minorHAnsi" w:hAnsi="ArialMT" w:cs="ArialMT"/>
        </w:rPr>
        <w:t xml:space="preserve"> with a proposed fees policy. The fees policy was due for revision annually and expired on the 31</w:t>
      </w:r>
      <w:r w:rsidR="00C71AE4">
        <w:rPr>
          <w:rFonts w:ascii="ArialMT" w:eastAsiaTheme="minorHAnsi" w:hAnsi="ArialMT" w:cs="ArialMT"/>
        </w:rPr>
        <w:t xml:space="preserve"> </w:t>
      </w:r>
      <w:r w:rsidRPr="00186024">
        <w:rPr>
          <w:rFonts w:ascii="ArialMT" w:eastAsiaTheme="minorHAnsi" w:hAnsi="ArialMT" w:cs="ArialMT"/>
        </w:rPr>
        <w:t xml:space="preserve">March 2019. </w:t>
      </w:r>
    </w:p>
    <w:p w14:paraId="1607E6A9" w14:textId="77777777" w:rsidR="00677116" w:rsidRPr="00677116" w:rsidRDefault="00677116" w:rsidP="00677116">
      <w:pPr>
        <w:pStyle w:val="ListParagraph"/>
        <w:autoSpaceDE w:val="0"/>
        <w:autoSpaceDN w:val="0"/>
        <w:adjustRightInd w:val="0"/>
        <w:ind w:left="644"/>
        <w:rPr>
          <w:rFonts w:ascii="ArialMT" w:eastAsiaTheme="minorHAnsi" w:hAnsi="ArialMT" w:cs="ArialMT"/>
        </w:rPr>
      </w:pPr>
    </w:p>
    <w:p w14:paraId="1607E6AA" w14:textId="77777777" w:rsidR="00CD6256" w:rsidRPr="00186024" w:rsidRDefault="005A0CED" w:rsidP="00186024">
      <w:pPr>
        <w:pStyle w:val="ListParagraph"/>
        <w:numPr>
          <w:ilvl w:val="0"/>
          <w:numId w:val="8"/>
        </w:numPr>
        <w:autoSpaceDE w:val="0"/>
        <w:autoSpaceDN w:val="0"/>
        <w:adjustRightInd w:val="0"/>
        <w:rPr>
          <w:rFonts w:ascii="ArialMT" w:eastAsiaTheme="minorHAnsi" w:hAnsi="ArialMT" w:cs="ArialMT"/>
        </w:rPr>
      </w:pPr>
      <w:r w:rsidRPr="00186024">
        <w:rPr>
          <w:rFonts w:ascii="ArialMT" w:eastAsiaTheme="minorHAnsi" w:hAnsi="ArialMT" w:cs="ArialMT"/>
        </w:rPr>
        <w:t>It is right that fees and charges are kept under regular review to ensure fairness for the fee payer and to ensure the Local Authority are as much as possible covering their costs in relation to performing that function.</w:t>
      </w:r>
      <w:r w:rsidR="007B14EE" w:rsidRPr="00186024">
        <w:rPr>
          <w:rFonts w:ascii="ArialMT" w:eastAsiaTheme="minorHAnsi" w:hAnsi="ArialMT" w:cs="ArialMT"/>
        </w:rPr>
        <w:t xml:space="preserve"> </w:t>
      </w:r>
    </w:p>
    <w:p w14:paraId="1607E6AB" w14:textId="77777777" w:rsidR="00CD6256" w:rsidRPr="00CD6256" w:rsidRDefault="00CD6256" w:rsidP="00CD6256">
      <w:pPr>
        <w:pStyle w:val="ListParagraph"/>
        <w:rPr>
          <w:rFonts w:ascii="ArialMT" w:eastAsiaTheme="minorHAnsi" w:hAnsi="ArialMT" w:cs="ArialMT"/>
        </w:rPr>
      </w:pPr>
    </w:p>
    <w:p w14:paraId="1607E6AC" w14:textId="77777777" w:rsidR="005A0CED" w:rsidRPr="00186024" w:rsidRDefault="005A0CED" w:rsidP="00186024">
      <w:pPr>
        <w:pStyle w:val="ListParagraph"/>
        <w:numPr>
          <w:ilvl w:val="0"/>
          <w:numId w:val="8"/>
        </w:numPr>
        <w:autoSpaceDE w:val="0"/>
        <w:autoSpaceDN w:val="0"/>
        <w:adjustRightInd w:val="0"/>
        <w:rPr>
          <w:rFonts w:ascii="ArialMT" w:eastAsiaTheme="minorHAnsi" w:hAnsi="ArialMT" w:cs="ArialMT"/>
        </w:rPr>
      </w:pPr>
      <w:r w:rsidRPr="00186024">
        <w:rPr>
          <w:rFonts w:ascii="ArialMT" w:eastAsiaTheme="minorHAnsi" w:hAnsi="ArialMT" w:cs="ArialMT"/>
        </w:rPr>
        <w:t>The current Fees Policy is attached as Appendix 1 with some minor amendments added for approval</w:t>
      </w:r>
      <w:r w:rsidR="00E6563D" w:rsidRPr="00186024">
        <w:rPr>
          <w:rFonts w:ascii="ArialMT" w:eastAsiaTheme="minorHAnsi" w:hAnsi="ArialMT" w:cs="ArialMT"/>
        </w:rPr>
        <w:t xml:space="preserve">. What are the amendments?  </w:t>
      </w:r>
    </w:p>
    <w:p w14:paraId="1607E6AD" w14:textId="77777777" w:rsidR="00677116" w:rsidRDefault="00677116" w:rsidP="00B33681">
      <w:pPr>
        <w:autoSpaceDE w:val="0"/>
        <w:autoSpaceDN w:val="0"/>
        <w:adjustRightInd w:val="0"/>
        <w:ind w:left="567" w:hanging="567"/>
        <w:rPr>
          <w:rFonts w:ascii="ArialMT" w:eastAsiaTheme="minorHAnsi" w:hAnsi="ArialMT" w:cs="ArialMT"/>
          <w:szCs w:val="22"/>
          <w:lang w:eastAsia="en-US"/>
        </w:rPr>
      </w:pPr>
    </w:p>
    <w:p w14:paraId="1607E6AE" w14:textId="77777777" w:rsidR="005A0CED" w:rsidRPr="00186024" w:rsidRDefault="005A0CED" w:rsidP="00186024">
      <w:pPr>
        <w:pStyle w:val="ListParagraph"/>
        <w:numPr>
          <w:ilvl w:val="0"/>
          <w:numId w:val="8"/>
        </w:numPr>
        <w:autoSpaceDE w:val="0"/>
        <w:autoSpaceDN w:val="0"/>
        <w:adjustRightInd w:val="0"/>
        <w:rPr>
          <w:rFonts w:ascii="ArialMT" w:eastAsiaTheme="minorHAnsi" w:hAnsi="ArialMT" w:cs="ArialMT"/>
        </w:rPr>
      </w:pPr>
      <w:r w:rsidRPr="00186024">
        <w:rPr>
          <w:rFonts w:ascii="ArialMT" w:eastAsiaTheme="minorHAnsi" w:hAnsi="ArialMT" w:cs="ArialMT"/>
        </w:rPr>
        <w:t xml:space="preserve">No </w:t>
      </w:r>
      <w:r w:rsidR="0018297F" w:rsidRPr="00186024">
        <w:rPr>
          <w:rFonts w:ascii="ArialMT" w:eastAsiaTheme="minorHAnsi" w:hAnsi="ArialMT" w:cs="ArialMT"/>
        </w:rPr>
        <w:t>amendments</w:t>
      </w:r>
      <w:r w:rsidRPr="00186024">
        <w:rPr>
          <w:rFonts w:ascii="ArialMT" w:eastAsiaTheme="minorHAnsi" w:hAnsi="ArialMT" w:cs="ArialMT"/>
        </w:rPr>
        <w:t xml:space="preserve"> to the fee structure</w:t>
      </w:r>
      <w:r w:rsidR="00CD6256" w:rsidRPr="00186024">
        <w:rPr>
          <w:rFonts w:ascii="ArialMT" w:eastAsiaTheme="minorHAnsi" w:hAnsi="ArialMT" w:cs="ArialMT"/>
        </w:rPr>
        <w:t xml:space="preserve"> are</w:t>
      </w:r>
      <w:r w:rsidRPr="00186024">
        <w:rPr>
          <w:rFonts w:ascii="ArialMT" w:eastAsiaTheme="minorHAnsi" w:hAnsi="ArialMT" w:cs="ArialMT"/>
        </w:rPr>
        <w:t xml:space="preserve"> proposed </w:t>
      </w:r>
      <w:r w:rsidR="0018297F" w:rsidRPr="00186024">
        <w:rPr>
          <w:rFonts w:ascii="ArialMT" w:eastAsiaTheme="minorHAnsi" w:hAnsi="ArialMT" w:cs="ArialMT"/>
        </w:rPr>
        <w:t>but the period of time the fees policy covers should be extended from 12 months to 3 years.</w:t>
      </w:r>
    </w:p>
    <w:p w14:paraId="1607E6AF" w14:textId="77777777" w:rsidR="007B14EE" w:rsidRDefault="007B14EE" w:rsidP="00B33681">
      <w:pPr>
        <w:autoSpaceDE w:val="0"/>
        <w:autoSpaceDN w:val="0"/>
        <w:adjustRightInd w:val="0"/>
        <w:ind w:left="567"/>
        <w:rPr>
          <w:rFonts w:ascii="Arial-BoldMT" w:eastAsiaTheme="minorHAnsi" w:hAnsi="Arial-BoldMT" w:cs="Arial-BoldMT"/>
          <w:b/>
          <w:bCs/>
          <w:szCs w:val="22"/>
          <w:lang w:eastAsia="en-US"/>
        </w:rPr>
      </w:pPr>
    </w:p>
    <w:p w14:paraId="1607E6B0" w14:textId="77777777" w:rsidR="007B14EE" w:rsidRPr="00186024" w:rsidRDefault="0018297F" w:rsidP="00186024">
      <w:pPr>
        <w:autoSpaceDE w:val="0"/>
        <w:autoSpaceDN w:val="0"/>
        <w:adjustRightInd w:val="0"/>
        <w:rPr>
          <w:rFonts w:ascii="Arial-BoldMT" w:eastAsiaTheme="minorHAnsi" w:hAnsi="Arial-BoldMT" w:cs="Arial-BoldMT"/>
          <w:b/>
          <w:bCs/>
        </w:rPr>
      </w:pPr>
      <w:r w:rsidRPr="00186024">
        <w:rPr>
          <w:rFonts w:ascii="Arial-BoldMT" w:eastAsiaTheme="minorHAnsi" w:hAnsi="Arial-BoldMT" w:cs="Arial-BoldMT"/>
          <w:b/>
          <w:bCs/>
        </w:rPr>
        <w:t>RATIIONALE</w:t>
      </w:r>
    </w:p>
    <w:p w14:paraId="1607E6B1" w14:textId="77777777" w:rsidR="00B33681" w:rsidRPr="00B33681" w:rsidRDefault="00B33681" w:rsidP="00B33681">
      <w:pPr>
        <w:pStyle w:val="ListParagraph"/>
        <w:autoSpaceDE w:val="0"/>
        <w:autoSpaceDN w:val="0"/>
        <w:adjustRightInd w:val="0"/>
        <w:ind w:left="360"/>
        <w:rPr>
          <w:rFonts w:ascii="Arial-BoldMT" w:eastAsiaTheme="minorHAnsi" w:hAnsi="Arial-BoldMT" w:cs="Arial-BoldMT"/>
          <w:b/>
          <w:bCs/>
        </w:rPr>
      </w:pPr>
    </w:p>
    <w:p w14:paraId="1607E6B2" w14:textId="77777777" w:rsidR="007B14EE" w:rsidRDefault="00186024" w:rsidP="0018297F">
      <w:pPr>
        <w:autoSpaceDE w:val="0"/>
        <w:autoSpaceDN w:val="0"/>
        <w:adjustRightInd w:val="0"/>
        <w:ind w:left="426" w:hanging="426"/>
        <w:rPr>
          <w:rFonts w:ascii="ArialMT" w:eastAsiaTheme="minorHAnsi" w:hAnsi="ArialMT" w:cs="ArialMT"/>
          <w:szCs w:val="22"/>
          <w:lang w:eastAsia="en-US"/>
        </w:rPr>
      </w:pPr>
      <w:r>
        <w:rPr>
          <w:rFonts w:ascii="ArialMT" w:eastAsiaTheme="minorHAnsi" w:hAnsi="ArialMT" w:cs="ArialMT"/>
          <w:szCs w:val="22"/>
          <w:lang w:eastAsia="en-US"/>
        </w:rPr>
        <w:t xml:space="preserve">8. </w:t>
      </w:r>
      <w:r>
        <w:rPr>
          <w:rFonts w:ascii="ArialMT" w:eastAsiaTheme="minorHAnsi" w:hAnsi="ArialMT" w:cs="ArialMT"/>
          <w:szCs w:val="22"/>
          <w:lang w:eastAsia="en-US"/>
        </w:rPr>
        <w:tab/>
      </w:r>
      <w:r w:rsidR="0018297F">
        <w:rPr>
          <w:rFonts w:ascii="ArialMT" w:eastAsiaTheme="minorHAnsi" w:hAnsi="ArialMT" w:cs="ArialMT"/>
          <w:szCs w:val="22"/>
          <w:lang w:eastAsia="en-US"/>
        </w:rPr>
        <w:t>Revie</w:t>
      </w:r>
      <w:r w:rsidR="00CD6256">
        <w:rPr>
          <w:rFonts w:ascii="ArialMT" w:eastAsiaTheme="minorHAnsi" w:hAnsi="ArialMT" w:cs="ArialMT"/>
          <w:szCs w:val="22"/>
          <w:lang w:eastAsia="en-US"/>
        </w:rPr>
        <w:t>wing fees is an essential function</w:t>
      </w:r>
      <w:r w:rsidR="0018297F">
        <w:rPr>
          <w:rFonts w:ascii="ArialMT" w:eastAsiaTheme="minorHAnsi" w:hAnsi="ArialMT" w:cs="ArialMT"/>
          <w:szCs w:val="22"/>
          <w:lang w:eastAsia="en-US"/>
        </w:rPr>
        <w:t xml:space="preserve"> and drastic variances should be remedied as soon as possible. The fee structure was implemented in March 2018 and estimated to cover the costs of performing the function over the financial year of 2018/2019.</w:t>
      </w:r>
    </w:p>
    <w:p w14:paraId="1607E6B3" w14:textId="77777777" w:rsidR="007B14EE" w:rsidRPr="007B14EE" w:rsidRDefault="007B14EE" w:rsidP="007B14EE">
      <w:pPr>
        <w:autoSpaceDE w:val="0"/>
        <w:autoSpaceDN w:val="0"/>
        <w:adjustRightInd w:val="0"/>
        <w:rPr>
          <w:rFonts w:ascii="ArialMT" w:eastAsiaTheme="minorHAnsi" w:hAnsi="ArialMT" w:cs="ArialMT"/>
          <w:szCs w:val="22"/>
          <w:lang w:eastAsia="en-US"/>
        </w:rPr>
      </w:pPr>
    </w:p>
    <w:p w14:paraId="1607E6B4" w14:textId="77777777" w:rsidR="0018297F" w:rsidRPr="00186024" w:rsidRDefault="0018297F" w:rsidP="00186024">
      <w:pPr>
        <w:pStyle w:val="ListParagraph"/>
        <w:numPr>
          <w:ilvl w:val="0"/>
          <w:numId w:val="17"/>
        </w:numPr>
        <w:autoSpaceDE w:val="0"/>
        <w:autoSpaceDN w:val="0"/>
        <w:adjustRightInd w:val="0"/>
        <w:ind w:left="426" w:hanging="426"/>
        <w:rPr>
          <w:rFonts w:ascii="ArialMT" w:eastAsiaTheme="minorHAnsi" w:hAnsi="ArialMT" w:cs="ArialMT"/>
        </w:rPr>
      </w:pPr>
      <w:r w:rsidRPr="00186024">
        <w:rPr>
          <w:rFonts w:ascii="ArialMT" w:eastAsiaTheme="minorHAnsi" w:hAnsi="ArialMT" w:cs="ArialMT"/>
        </w:rPr>
        <w:t>There are 3 mobile home sites Licensed with the Council, each have received at least 2 visits in 2018/2019. However complaints or enquires that come in over the term of 1 year are more difficult to predict in terms of numbers and complex</w:t>
      </w:r>
      <w:r w:rsidR="00906D70" w:rsidRPr="00186024">
        <w:rPr>
          <w:rFonts w:ascii="ArialMT" w:eastAsiaTheme="minorHAnsi" w:hAnsi="ArialMT" w:cs="ArialMT"/>
        </w:rPr>
        <w:t>ity</w:t>
      </w:r>
      <w:r w:rsidRPr="00186024">
        <w:rPr>
          <w:rFonts w:ascii="ArialMT" w:eastAsiaTheme="minorHAnsi" w:hAnsi="ArialMT" w:cs="ArialMT"/>
        </w:rPr>
        <w:t>. The Council dealt with some concerns from the residents from one site in 2018/2019 which involved numerous reassurance visits and follow up discussions with the site owners. Matters were resolved with no need for enforcement action but realistically took between 12-15 hours</w:t>
      </w:r>
      <w:r w:rsidR="00CD6256" w:rsidRPr="00186024">
        <w:rPr>
          <w:rFonts w:ascii="ArialMT" w:eastAsiaTheme="minorHAnsi" w:hAnsi="ArialMT" w:cs="ArialMT"/>
        </w:rPr>
        <w:t xml:space="preserve"> to resolve.</w:t>
      </w:r>
    </w:p>
    <w:p w14:paraId="1607E6B5" w14:textId="77777777" w:rsidR="00B6669D" w:rsidRDefault="00B6669D" w:rsidP="00906D70">
      <w:pPr>
        <w:autoSpaceDE w:val="0"/>
        <w:autoSpaceDN w:val="0"/>
        <w:adjustRightInd w:val="0"/>
        <w:ind w:left="426" w:hanging="426"/>
        <w:rPr>
          <w:rFonts w:ascii="ArialMT" w:eastAsiaTheme="minorHAnsi" w:hAnsi="ArialMT" w:cs="ArialMT"/>
          <w:szCs w:val="22"/>
          <w:lang w:eastAsia="en-US"/>
        </w:rPr>
      </w:pPr>
    </w:p>
    <w:p w14:paraId="1607E6B6" w14:textId="77777777" w:rsidR="00906D70" w:rsidRPr="00186024" w:rsidRDefault="00906D70" w:rsidP="00186024">
      <w:pPr>
        <w:pStyle w:val="ListParagraph"/>
        <w:numPr>
          <w:ilvl w:val="0"/>
          <w:numId w:val="17"/>
        </w:numPr>
        <w:autoSpaceDE w:val="0"/>
        <w:autoSpaceDN w:val="0"/>
        <w:adjustRightInd w:val="0"/>
        <w:ind w:left="426" w:hanging="426"/>
        <w:rPr>
          <w:rFonts w:ascii="ArialMT" w:eastAsiaTheme="minorHAnsi" w:hAnsi="ArialMT" w:cs="ArialMT"/>
        </w:rPr>
      </w:pPr>
      <w:r w:rsidRPr="00186024">
        <w:rPr>
          <w:rFonts w:ascii="ArialMT" w:eastAsiaTheme="minorHAnsi" w:hAnsi="ArialMT" w:cs="ArialMT"/>
        </w:rPr>
        <w:t>The approach to regulation from most if not all forms of guidance is for regulators to approach matters of compliance in an informal way seeking agreement where possible through negotiation and co-operation, jumping directly into enforcement action should only be done in the most serious of cases or where other more informal methods have failed.</w:t>
      </w:r>
    </w:p>
    <w:p w14:paraId="1607E6B7" w14:textId="77777777" w:rsidR="00B6669D" w:rsidRDefault="00B6669D" w:rsidP="00906D70">
      <w:pPr>
        <w:autoSpaceDE w:val="0"/>
        <w:autoSpaceDN w:val="0"/>
        <w:adjustRightInd w:val="0"/>
        <w:ind w:left="426" w:hanging="426"/>
        <w:rPr>
          <w:rFonts w:ascii="ArialMT" w:eastAsiaTheme="minorHAnsi" w:hAnsi="ArialMT" w:cs="ArialMT"/>
          <w:szCs w:val="22"/>
          <w:lang w:eastAsia="en-US"/>
        </w:rPr>
      </w:pPr>
    </w:p>
    <w:p w14:paraId="1607E6B8" w14:textId="77777777" w:rsidR="00906D70" w:rsidRPr="00186024" w:rsidRDefault="00906D70" w:rsidP="00186024">
      <w:pPr>
        <w:pStyle w:val="ListParagraph"/>
        <w:numPr>
          <w:ilvl w:val="0"/>
          <w:numId w:val="17"/>
        </w:numPr>
        <w:autoSpaceDE w:val="0"/>
        <w:autoSpaceDN w:val="0"/>
        <w:adjustRightInd w:val="0"/>
        <w:ind w:left="426" w:hanging="426"/>
        <w:rPr>
          <w:rFonts w:ascii="ArialMT" w:eastAsiaTheme="minorHAnsi" w:hAnsi="ArialMT" w:cs="ArialMT"/>
        </w:rPr>
      </w:pPr>
      <w:r w:rsidRPr="00186024">
        <w:rPr>
          <w:rFonts w:ascii="ArialMT" w:eastAsiaTheme="minorHAnsi" w:hAnsi="ArialMT" w:cs="ArialMT"/>
        </w:rPr>
        <w:t>The fees policy allows a Local Authority to charge enforcement costs, but enforcement begins when formal action is being considered, ie legal action or Enforcement Notices. Dealing with every day matters of such as complaints or compliance checks is funded f</w:t>
      </w:r>
      <w:r w:rsidR="00E6563D" w:rsidRPr="00186024">
        <w:rPr>
          <w:rFonts w:ascii="ArialMT" w:eastAsiaTheme="minorHAnsi" w:hAnsi="ArialMT" w:cs="ArialMT"/>
        </w:rPr>
        <w:t>ro</w:t>
      </w:r>
      <w:r w:rsidRPr="00186024">
        <w:rPr>
          <w:rFonts w:ascii="ArialMT" w:eastAsiaTheme="minorHAnsi" w:hAnsi="ArialMT" w:cs="ArialMT"/>
        </w:rPr>
        <w:t>m the Licensing fees.</w:t>
      </w:r>
    </w:p>
    <w:p w14:paraId="1607E6B9" w14:textId="77777777" w:rsidR="00CD6256" w:rsidRDefault="00CD6256" w:rsidP="00906D70">
      <w:pPr>
        <w:autoSpaceDE w:val="0"/>
        <w:autoSpaceDN w:val="0"/>
        <w:adjustRightInd w:val="0"/>
        <w:ind w:left="426" w:hanging="426"/>
        <w:rPr>
          <w:rFonts w:ascii="ArialMT" w:eastAsiaTheme="minorHAnsi" w:hAnsi="ArialMT" w:cs="ArialMT"/>
          <w:szCs w:val="22"/>
          <w:lang w:eastAsia="en-US"/>
        </w:rPr>
      </w:pPr>
    </w:p>
    <w:p w14:paraId="1607E6BA" w14:textId="77777777" w:rsidR="00906D70" w:rsidRPr="00186024" w:rsidRDefault="00906D70" w:rsidP="00186024">
      <w:pPr>
        <w:pStyle w:val="ListParagraph"/>
        <w:numPr>
          <w:ilvl w:val="0"/>
          <w:numId w:val="17"/>
        </w:numPr>
        <w:autoSpaceDE w:val="0"/>
        <w:autoSpaceDN w:val="0"/>
        <w:adjustRightInd w:val="0"/>
        <w:ind w:left="426" w:hanging="426"/>
        <w:rPr>
          <w:rFonts w:ascii="ArialMT" w:eastAsiaTheme="minorHAnsi" w:hAnsi="ArialMT" w:cs="ArialMT"/>
        </w:rPr>
      </w:pPr>
      <w:r w:rsidRPr="00186024">
        <w:rPr>
          <w:rFonts w:ascii="ArialMT" w:eastAsiaTheme="minorHAnsi" w:hAnsi="ArialMT" w:cs="ArialMT"/>
        </w:rPr>
        <w:t>If effective negotiation between the parties is achieved then complaints can be resolved, this should result in less time being spent at the site the following year therefore less cost being incurred to deliver the function.</w:t>
      </w:r>
    </w:p>
    <w:p w14:paraId="1607E6BB" w14:textId="77777777" w:rsidR="00B6669D" w:rsidRDefault="00B6669D" w:rsidP="00906D70">
      <w:pPr>
        <w:autoSpaceDE w:val="0"/>
        <w:autoSpaceDN w:val="0"/>
        <w:adjustRightInd w:val="0"/>
        <w:ind w:left="426" w:hanging="426"/>
        <w:rPr>
          <w:rFonts w:ascii="ArialMT" w:eastAsiaTheme="minorHAnsi" w:hAnsi="ArialMT" w:cs="ArialMT"/>
          <w:szCs w:val="22"/>
          <w:lang w:eastAsia="en-US"/>
        </w:rPr>
      </w:pPr>
    </w:p>
    <w:p w14:paraId="1607E6BC" w14:textId="77777777" w:rsidR="00B6669D" w:rsidRPr="00186024" w:rsidRDefault="00906D70" w:rsidP="00186024">
      <w:pPr>
        <w:pStyle w:val="ListParagraph"/>
        <w:numPr>
          <w:ilvl w:val="0"/>
          <w:numId w:val="17"/>
        </w:numPr>
        <w:autoSpaceDE w:val="0"/>
        <w:autoSpaceDN w:val="0"/>
        <w:adjustRightInd w:val="0"/>
        <w:ind w:left="426" w:hanging="426"/>
        <w:rPr>
          <w:rFonts w:ascii="ArialMT" w:eastAsiaTheme="minorHAnsi" w:hAnsi="ArialMT" w:cs="ArialMT"/>
        </w:rPr>
      </w:pPr>
      <w:r w:rsidRPr="00186024">
        <w:rPr>
          <w:rFonts w:ascii="ArialMT" w:eastAsiaTheme="minorHAnsi" w:hAnsi="ArialMT" w:cs="ArialMT"/>
        </w:rPr>
        <w:t xml:space="preserve">Whilst the </w:t>
      </w:r>
      <w:r w:rsidR="00521878" w:rsidRPr="00186024">
        <w:rPr>
          <w:rFonts w:ascii="ArialMT" w:eastAsiaTheme="minorHAnsi" w:hAnsi="ArialMT" w:cs="ArialMT"/>
        </w:rPr>
        <w:t>administration</w:t>
      </w:r>
      <w:r w:rsidRPr="00186024">
        <w:rPr>
          <w:rFonts w:ascii="ArialMT" w:eastAsiaTheme="minorHAnsi" w:hAnsi="ArialMT" w:cs="ArialMT"/>
        </w:rPr>
        <w:t xml:space="preserve"> function of </w:t>
      </w:r>
      <w:r w:rsidR="00521878" w:rsidRPr="00186024">
        <w:rPr>
          <w:rFonts w:ascii="ArialMT" w:eastAsiaTheme="minorHAnsi" w:hAnsi="ArialMT" w:cs="ArialMT"/>
        </w:rPr>
        <w:t>issuing</w:t>
      </w:r>
      <w:r w:rsidRPr="00186024">
        <w:rPr>
          <w:rFonts w:ascii="ArialMT" w:eastAsiaTheme="minorHAnsi" w:hAnsi="ArialMT" w:cs="ArialMT"/>
        </w:rPr>
        <w:t xml:space="preserve"> the licence year on year is predictable the compliance </w:t>
      </w:r>
      <w:r w:rsidR="00521878" w:rsidRPr="00186024">
        <w:rPr>
          <w:rFonts w:ascii="ArialMT" w:eastAsiaTheme="minorHAnsi" w:hAnsi="ArialMT" w:cs="ArialMT"/>
        </w:rPr>
        <w:t xml:space="preserve">matters outlined </w:t>
      </w:r>
      <w:r w:rsidRPr="00186024">
        <w:rPr>
          <w:rFonts w:ascii="ArialMT" w:eastAsiaTheme="minorHAnsi" w:hAnsi="ArialMT" w:cs="ArialMT"/>
        </w:rPr>
        <w:t>above</w:t>
      </w:r>
      <w:r w:rsidR="00CD6256" w:rsidRPr="00186024">
        <w:rPr>
          <w:rFonts w:ascii="ArialMT" w:eastAsiaTheme="minorHAnsi" w:hAnsi="ArialMT" w:cs="ArialMT"/>
        </w:rPr>
        <w:t xml:space="preserve"> are not</w:t>
      </w:r>
      <w:r w:rsidR="00521878" w:rsidRPr="00186024">
        <w:rPr>
          <w:rFonts w:ascii="ArialMT" w:eastAsiaTheme="minorHAnsi" w:hAnsi="ArialMT" w:cs="ArialMT"/>
        </w:rPr>
        <w:t>. For this reason a year on year fees policy could swing one way or the other quite dramatically depe</w:t>
      </w:r>
      <w:r w:rsidR="00B6669D" w:rsidRPr="00186024">
        <w:rPr>
          <w:rFonts w:ascii="ArialMT" w:eastAsiaTheme="minorHAnsi" w:hAnsi="ArialMT" w:cs="ArialMT"/>
        </w:rPr>
        <w:t>nding on the levels of activity.</w:t>
      </w:r>
    </w:p>
    <w:p w14:paraId="1607E6BD" w14:textId="77777777" w:rsidR="00B6669D" w:rsidRDefault="00B6669D" w:rsidP="00906D70">
      <w:pPr>
        <w:autoSpaceDE w:val="0"/>
        <w:autoSpaceDN w:val="0"/>
        <w:adjustRightInd w:val="0"/>
        <w:ind w:left="426" w:hanging="426"/>
        <w:rPr>
          <w:rFonts w:ascii="ArialMT" w:eastAsiaTheme="minorHAnsi" w:hAnsi="ArialMT" w:cs="ArialMT"/>
          <w:szCs w:val="22"/>
          <w:lang w:eastAsia="en-US"/>
        </w:rPr>
      </w:pPr>
    </w:p>
    <w:p w14:paraId="1607E6BE" w14:textId="06FC6D8E" w:rsidR="00B6669D" w:rsidRDefault="00186024" w:rsidP="00B6669D">
      <w:pPr>
        <w:autoSpaceDE w:val="0"/>
        <w:autoSpaceDN w:val="0"/>
        <w:adjustRightInd w:val="0"/>
        <w:ind w:left="426" w:hanging="426"/>
        <w:rPr>
          <w:rFonts w:ascii="ArialMT" w:eastAsiaTheme="minorHAnsi" w:hAnsi="ArialMT" w:cs="ArialMT"/>
          <w:szCs w:val="22"/>
          <w:lang w:eastAsia="en-US"/>
        </w:rPr>
      </w:pPr>
      <w:r>
        <w:rPr>
          <w:rFonts w:ascii="ArialMT" w:eastAsiaTheme="minorHAnsi" w:hAnsi="ArialMT" w:cs="ArialMT"/>
          <w:szCs w:val="22"/>
          <w:lang w:eastAsia="en-US"/>
        </w:rPr>
        <w:t>14.</w:t>
      </w:r>
      <w:r>
        <w:rPr>
          <w:rFonts w:ascii="ArialMT" w:eastAsiaTheme="minorHAnsi" w:hAnsi="ArialMT" w:cs="ArialMT"/>
          <w:szCs w:val="22"/>
          <w:lang w:eastAsia="en-US"/>
        </w:rPr>
        <w:tab/>
      </w:r>
      <w:r w:rsidR="00B6669D">
        <w:rPr>
          <w:rFonts w:ascii="ArialMT" w:eastAsiaTheme="minorHAnsi" w:hAnsi="ArialMT" w:cs="ArialMT"/>
          <w:szCs w:val="22"/>
          <w:lang w:eastAsia="en-US"/>
        </w:rPr>
        <w:t>A 3 year fees policy would allow the Council to aggregate the costs over a longer period to give a fairer and more stable structure. In addition to a fairer assessment the issue of renewing policy year on year comes with its own set of costs, such as report writing, attending hearings and con</w:t>
      </w:r>
      <w:r w:rsidR="00C71AE4">
        <w:rPr>
          <w:rFonts w:ascii="ArialMT" w:eastAsiaTheme="minorHAnsi" w:hAnsi="ArialMT" w:cs="ArialMT"/>
          <w:szCs w:val="22"/>
          <w:lang w:eastAsia="en-US"/>
        </w:rPr>
        <w:t xml:space="preserve">sultation with effected parties. </w:t>
      </w:r>
      <w:bookmarkStart w:id="0" w:name="_GoBack"/>
      <w:bookmarkEnd w:id="0"/>
      <w:r w:rsidR="00F25353">
        <w:rPr>
          <w:rFonts w:ascii="ArialMT" w:eastAsiaTheme="minorHAnsi" w:hAnsi="ArialMT" w:cs="ArialMT"/>
          <w:szCs w:val="22"/>
          <w:lang w:eastAsia="en-US"/>
        </w:rPr>
        <w:t>A</w:t>
      </w:r>
      <w:r w:rsidR="00B6669D">
        <w:rPr>
          <w:rFonts w:ascii="ArialMT" w:eastAsiaTheme="minorHAnsi" w:hAnsi="ArialMT" w:cs="ArialMT"/>
          <w:szCs w:val="22"/>
          <w:lang w:eastAsia="en-US"/>
        </w:rPr>
        <w:t>s this cost can be passed on to the Licence Holder</w:t>
      </w:r>
      <w:r w:rsidR="00B6669D" w:rsidRPr="007B14EE">
        <w:rPr>
          <w:rFonts w:ascii="ArialMT" w:eastAsiaTheme="minorHAnsi" w:hAnsi="ArialMT" w:cs="ArialMT"/>
          <w:szCs w:val="22"/>
          <w:lang w:eastAsia="en-US"/>
        </w:rPr>
        <w:t xml:space="preserve"> </w:t>
      </w:r>
      <w:r w:rsidR="00B6669D">
        <w:rPr>
          <w:rFonts w:ascii="ArialMT" w:eastAsiaTheme="minorHAnsi" w:hAnsi="ArialMT" w:cs="ArialMT"/>
          <w:szCs w:val="22"/>
          <w:lang w:eastAsia="en-US"/>
        </w:rPr>
        <w:t>it would mean fees potentially becoming more expensive especially if substantial resource has been directed in that financial year to dealing with the function.</w:t>
      </w:r>
    </w:p>
    <w:p w14:paraId="1607E6BF" w14:textId="77777777" w:rsidR="00563009" w:rsidRDefault="00563009" w:rsidP="00B6669D">
      <w:pPr>
        <w:autoSpaceDE w:val="0"/>
        <w:autoSpaceDN w:val="0"/>
        <w:adjustRightInd w:val="0"/>
        <w:ind w:left="426" w:hanging="426"/>
        <w:rPr>
          <w:rFonts w:ascii="ArialMT" w:eastAsiaTheme="minorHAnsi" w:hAnsi="ArialMT" w:cs="ArialMT"/>
          <w:szCs w:val="22"/>
          <w:lang w:eastAsia="en-US"/>
        </w:rPr>
      </w:pPr>
    </w:p>
    <w:p w14:paraId="1607E6C0" w14:textId="77777777" w:rsidR="007B14EE" w:rsidRPr="00186024" w:rsidRDefault="00B6669D" w:rsidP="00186024">
      <w:pPr>
        <w:pStyle w:val="ListParagraph"/>
        <w:numPr>
          <w:ilvl w:val="0"/>
          <w:numId w:val="18"/>
        </w:numPr>
        <w:autoSpaceDE w:val="0"/>
        <w:autoSpaceDN w:val="0"/>
        <w:adjustRightInd w:val="0"/>
        <w:ind w:left="426" w:hanging="426"/>
        <w:rPr>
          <w:rFonts w:ascii="ArialMT" w:eastAsiaTheme="minorHAnsi" w:hAnsi="ArialMT" w:cs="ArialMT"/>
        </w:rPr>
      </w:pPr>
      <w:r w:rsidRPr="00186024">
        <w:rPr>
          <w:rFonts w:ascii="ArialMT" w:eastAsiaTheme="minorHAnsi" w:hAnsi="ArialMT" w:cs="ArialMT"/>
        </w:rPr>
        <w:t>Year on</w:t>
      </w:r>
      <w:r w:rsidR="00563009" w:rsidRPr="00186024">
        <w:rPr>
          <w:rFonts w:ascii="ArialMT" w:eastAsiaTheme="minorHAnsi" w:hAnsi="ArialMT" w:cs="ArialMT"/>
        </w:rPr>
        <w:t xml:space="preserve"> year</w:t>
      </w:r>
      <w:r w:rsidRPr="00186024">
        <w:rPr>
          <w:rFonts w:ascii="ArialMT" w:eastAsiaTheme="minorHAnsi" w:hAnsi="ArialMT" w:cs="ArialMT"/>
        </w:rPr>
        <w:t xml:space="preserve"> fluctuation may also provide uncertainty for residents of the sites as the Licence Holders are permitted in law to recover the costs of the Licensing fee </w:t>
      </w:r>
      <w:r w:rsidR="008905F4" w:rsidRPr="00186024">
        <w:rPr>
          <w:rFonts w:ascii="ArialMT" w:eastAsiaTheme="minorHAnsi" w:hAnsi="ArialMT" w:cs="ArialMT"/>
        </w:rPr>
        <w:t>through t</w:t>
      </w:r>
      <w:r w:rsidR="00524482" w:rsidRPr="00186024">
        <w:rPr>
          <w:rFonts w:ascii="ArialMT" w:eastAsiaTheme="minorHAnsi" w:hAnsi="ArialMT" w:cs="ArialMT"/>
        </w:rPr>
        <w:t>he</w:t>
      </w:r>
      <w:r w:rsidRPr="00186024">
        <w:rPr>
          <w:rFonts w:ascii="ArialMT" w:eastAsiaTheme="minorHAnsi" w:hAnsi="ArialMT" w:cs="ArialMT"/>
        </w:rPr>
        <w:t xml:space="preserve"> site fee that each resident has to pay</w:t>
      </w:r>
      <w:r w:rsidR="008905F4" w:rsidRPr="00186024">
        <w:rPr>
          <w:rFonts w:ascii="ArialMT" w:eastAsiaTheme="minorHAnsi" w:hAnsi="ArialMT" w:cs="ArialMT"/>
        </w:rPr>
        <w:t xml:space="preserve"> annually.</w:t>
      </w:r>
    </w:p>
    <w:p w14:paraId="1607E6C1" w14:textId="77777777" w:rsidR="007E39F1" w:rsidRPr="009C4544" w:rsidRDefault="007E39F1" w:rsidP="00A36FBF">
      <w:pPr>
        <w:ind w:left="720" w:hanging="720"/>
        <w:rPr>
          <w:rFonts w:asciiTheme="minorHAnsi" w:hAnsiTheme="minorHAnsi"/>
          <w:szCs w:val="22"/>
        </w:rPr>
      </w:pPr>
    </w:p>
    <w:p w14:paraId="1607E6C2" w14:textId="77777777" w:rsidR="00C42883" w:rsidRDefault="008905F4" w:rsidP="00C42883">
      <w:pPr>
        <w:rPr>
          <w:rFonts w:cs="Arial"/>
          <w:b/>
          <w:szCs w:val="22"/>
        </w:rPr>
      </w:pPr>
      <w:r>
        <w:rPr>
          <w:rFonts w:cs="Arial"/>
          <w:b/>
          <w:szCs w:val="22"/>
        </w:rPr>
        <w:t>OUTLINE OF CONSULTATION</w:t>
      </w:r>
    </w:p>
    <w:p w14:paraId="1607E6C3" w14:textId="77777777" w:rsidR="00B33681" w:rsidRPr="009C4544" w:rsidRDefault="00B33681" w:rsidP="00C42883">
      <w:pPr>
        <w:rPr>
          <w:rFonts w:asciiTheme="minorHAnsi" w:hAnsiTheme="minorHAnsi"/>
          <w:b/>
          <w:szCs w:val="22"/>
        </w:rPr>
      </w:pPr>
    </w:p>
    <w:p w14:paraId="1607E6C4" w14:textId="77777777" w:rsidR="00677116" w:rsidRPr="00186024" w:rsidRDefault="00677116" w:rsidP="00186024">
      <w:pPr>
        <w:pStyle w:val="ListParagraph"/>
        <w:numPr>
          <w:ilvl w:val="0"/>
          <w:numId w:val="18"/>
        </w:numPr>
        <w:ind w:hanging="720"/>
        <w:rPr>
          <w:rFonts w:ascii="Arial" w:hAnsi="Arial" w:cs="Arial"/>
        </w:rPr>
      </w:pPr>
      <w:r w:rsidRPr="00186024">
        <w:rPr>
          <w:rFonts w:ascii="Arial" w:hAnsi="Arial" w:cs="Arial"/>
        </w:rPr>
        <w:t>An advisory letter was sent to each of the 3 currently – licensed site operators on the 8</w:t>
      </w:r>
      <w:r w:rsidRPr="00186024">
        <w:rPr>
          <w:rFonts w:ascii="Arial" w:hAnsi="Arial" w:cs="Arial"/>
          <w:vertAlign w:val="superscript"/>
        </w:rPr>
        <w:t>th</w:t>
      </w:r>
      <w:r w:rsidRPr="00186024">
        <w:rPr>
          <w:rFonts w:ascii="Arial" w:hAnsi="Arial" w:cs="Arial"/>
        </w:rPr>
        <w:t xml:space="preserve"> August 2019 asking for comments by no later than the 9</w:t>
      </w:r>
      <w:r w:rsidRPr="00186024">
        <w:rPr>
          <w:rFonts w:ascii="Arial" w:hAnsi="Arial" w:cs="Arial"/>
          <w:vertAlign w:val="superscript"/>
        </w:rPr>
        <w:t>th</w:t>
      </w:r>
      <w:r w:rsidRPr="00186024">
        <w:rPr>
          <w:rFonts w:ascii="Arial" w:hAnsi="Arial" w:cs="Arial"/>
        </w:rPr>
        <w:t xml:space="preserve"> September 2019.</w:t>
      </w:r>
    </w:p>
    <w:p w14:paraId="1607E6C5" w14:textId="77777777" w:rsidR="00677116" w:rsidRPr="00186024" w:rsidRDefault="00677116" w:rsidP="00677116">
      <w:pPr>
        <w:ind w:left="426"/>
        <w:rPr>
          <w:rFonts w:cs="Arial"/>
          <w:szCs w:val="22"/>
        </w:rPr>
      </w:pPr>
    </w:p>
    <w:p w14:paraId="1607E6C6" w14:textId="77777777" w:rsidR="00677116" w:rsidRPr="00186024" w:rsidRDefault="00677116" w:rsidP="00186024">
      <w:pPr>
        <w:ind w:left="426" w:firstLine="294"/>
        <w:rPr>
          <w:rFonts w:cs="Arial"/>
          <w:szCs w:val="22"/>
        </w:rPr>
      </w:pPr>
      <w:r w:rsidRPr="00186024">
        <w:rPr>
          <w:rFonts w:cs="Arial"/>
          <w:szCs w:val="22"/>
        </w:rPr>
        <w:t>The Proposed revised fees policy has also been published on the Council web site.</w:t>
      </w:r>
    </w:p>
    <w:p w14:paraId="1607E6C7" w14:textId="77777777" w:rsidR="007B14EE" w:rsidRDefault="007B14EE" w:rsidP="00F43895">
      <w:pPr>
        <w:rPr>
          <w:rFonts w:cs="Arial"/>
          <w:b/>
          <w:szCs w:val="22"/>
        </w:rPr>
      </w:pPr>
    </w:p>
    <w:p w14:paraId="1607E6C8" w14:textId="77777777" w:rsidR="00F43895" w:rsidRDefault="00F43895" w:rsidP="00F43895">
      <w:pPr>
        <w:rPr>
          <w:rFonts w:cs="Arial"/>
          <w:b/>
          <w:caps/>
        </w:rPr>
      </w:pPr>
      <w:r w:rsidRPr="00AE7D36">
        <w:rPr>
          <w:rFonts w:cs="Arial"/>
          <w:b/>
          <w:caps/>
        </w:rPr>
        <w:t>Financial implications</w:t>
      </w:r>
    </w:p>
    <w:p w14:paraId="1607E6C9" w14:textId="77777777" w:rsidR="00186024" w:rsidRDefault="00186024" w:rsidP="00186024">
      <w:pPr>
        <w:rPr>
          <w:rFonts w:cs="Arial"/>
          <w:b/>
          <w:caps/>
        </w:rPr>
      </w:pPr>
    </w:p>
    <w:p w14:paraId="1607E6CA" w14:textId="77777777" w:rsidR="00F43895" w:rsidRPr="00186024" w:rsidRDefault="0034285E" w:rsidP="00186024">
      <w:pPr>
        <w:pStyle w:val="ListParagraph"/>
        <w:numPr>
          <w:ilvl w:val="0"/>
          <w:numId w:val="18"/>
        </w:numPr>
        <w:ind w:left="426" w:hanging="426"/>
        <w:rPr>
          <w:rFonts w:ascii="Arial" w:hAnsi="Arial" w:cs="Arial"/>
          <w:caps/>
        </w:rPr>
      </w:pPr>
      <w:r w:rsidRPr="00186024">
        <w:rPr>
          <w:rFonts w:ascii="Arial" w:hAnsi="Arial" w:cs="Arial"/>
        </w:rPr>
        <w:t>There are no direct financial implications because the fees are remaining the same</w:t>
      </w:r>
    </w:p>
    <w:p w14:paraId="1607E6CB" w14:textId="77777777" w:rsidR="00F43895" w:rsidRPr="00AE7D36" w:rsidRDefault="00F43895" w:rsidP="00D72071">
      <w:pPr>
        <w:ind w:left="360"/>
        <w:rPr>
          <w:rFonts w:cs="Arial"/>
          <w:caps/>
          <w:color w:val="2E74B5"/>
        </w:rPr>
      </w:pPr>
      <w:r w:rsidRPr="00AE7D36">
        <w:rPr>
          <w:rFonts w:cs="Arial"/>
          <w:i/>
          <w:color w:val="2E74B5"/>
        </w:rPr>
        <w:t xml:space="preserve"> </w:t>
      </w:r>
    </w:p>
    <w:p w14:paraId="1607E6CC" w14:textId="77777777" w:rsidR="00F43895" w:rsidRDefault="00F43895" w:rsidP="00F43895">
      <w:pPr>
        <w:rPr>
          <w:rFonts w:cs="Arial"/>
          <w:b/>
          <w:caps/>
        </w:rPr>
      </w:pPr>
      <w:r w:rsidRPr="00AE7D36">
        <w:rPr>
          <w:rFonts w:cs="Arial"/>
          <w:b/>
          <w:caps/>
        </w:rPr>
        <w:t>LEGAL IMPLICATIONS</w:t>
      </w:r>
    </w:p>
    <w:p w14:paraId="1607E6CD" w14:textId="77777777" w:rsidR="00677116" w:rsidRDefault="00677116" w:rsidP="00F43895">
      <w:pPr>
        <w:rPr>
          <w:rFonts w:cs="Arial"/>
          <w:b/>
          <w:caps/>
        </w:rPr>
      </w:pPr>
    </w:p>
    <w:p w14:paraId="1607E6CE" w14:textId="77777777" w:rsidR="004A36DA" w:rsidRPr="00186024" w:rsidRDefault="001F443A" w:rsidP="00186024">
      <w:pPr>
        <w:pStyle w:val="ListParagraph"/>
        <w:numPr>
          <w:ilvl w:val="0"/>
          <w:numId w:val="18"/>
        </w:numPr>
        <w:ind w:left="426" w:hanging="426"/>
        <w:rPr>
          <w:rFonts w:ascii="Arial" w:hAnsi="Arial" w:cs="Arial"/>
          <w:b/>
          <w:caps/>
        </w:rPr>
      </w:pPr>
      <w:r w:rsidRPr="00186024">
        <w:rPr>
          <w:rFonts w:ascii="Arial" w:hAnsi="Arial" w:cs="Arial"/>
        </w:rPr>
        <w:t>Fees must be set in accordance with the Act and should fairly cover the costs (or part of the costs) incurred by the Council under its functions in Part 1 of the Act, other than the costs of enforcement action.</w:t>
      </w:r>
    </w:p>
    <w:p w14:paraId="1607E6CF" w14:textId="77777777" w:rsidR="00677116" w:rsidRPr="009C4544" w:rsidRDefault="00677116" w:rsidP="00F43895">
      <w:pPr>
        <w:rPr>
          <w:rFonts w:asciiTheme="minorHAnsi" w:hAnsiTheme="minorHAnsi" w:cs="Arial"/>
          <w:b/>
          <w:caps/>
        </w:rPr>
      </w:pPr>
    </w:p>
    <w:p w14:paraId="1607E6D0" w14:textId="77777777" w:rsidR="00F43895" w:rsidRDefault="00F43895" w:rsidP="00F43895">
      <w:pPr>
        <w:rPr>
          <w:rFonts w:cs="Arial"/>
          <w:b/>
        </w:rPr>
      </w:pPr>
      <w:r w:rsidRPr="00AE7D36">
        <w:rPr>
          <w:rFonts w:cs="Arial"/>
          <w:b/>
        </w:rPr>
        <w:t>COMMENTS OF THE STATUTORY FINANCE OFFICER</w:t>
      </w:r>
    </w:p>
    <w:p w14:paraId="1607E6D1" w14:textId="77777777" w:rsidR="00186024" w:rsidRDefault="00186024" w:rsidP="00F43895">
      <w:pPr>
        <w:rPr>
          <w:rFonts w:cs="Arial"/>
          <w:b/>
        </w:rPr>
      </w:pPr>
    </w:p>
    <w:p w14:paraId="1607E6D2" w14:textId="77777777" w:rsidR="00186024" w:rsidRPr="00186024" w:rsidRDefault="00186024" w:rsidP="00186024">
      <w:pPr>
        <w:pStyle w:val="ListParagraph"/>
        <w:numPr>
          <w:ilvl w:val="0"/>
          <w:numId w:val="18"/>
        </w:numPr>
        <w:ind w:left="426" w:hanging="426"/>
        <w:rPr>
          <w:rFonts w:ascii="Arial" w:hAnsi="Arial" w:cs="Arial"/>
        </w:rPr>
      </w:pPr>
      <w:r w:rsidRPr="00186024">
        <w:rPr>
          <w:rFonts w:ascii="Arial" w:hAnsi="Arial" w:cs="Arial"/>
        </w:rPr>
        <w:t>See financial implications above.</w:t>
      </w:r>
    </w:p>
    <w:p w14:paraId="1607E6D3" w14:textId="77777777" w:rsidR="00677116" w:rsidRPr="00AE7D36" w:rsidRDefault="00677116" w:rsidP="00F43895">
      <w:pPr>
        <w:rPr>
          <w:rFonts w:cs="Arial"/>
          <w:b/>
        </w:rPr>
      </w:pPr>
    </w:p>
    <w:p w14:paraId="1607E6D4" w14:textId="77777777" w:rsidR="00F43895" w:rsidRDefault="00F43895" w:rsidP="00BE2A3F">
      <w:pPr>
        <w:rPr>
          <w:rFonts w:cs="Arial"/>
          <w:b/>
        </w:rPr>
      </w:pPr>
      <w:r w:rsidRPr="00AE7D36">
        <w:rPr>
          <w:rFonts w:cs="Arial"/>
          <w:b/>
        </w:rPr>
        <w:t>COMMENTS OF THE MONITORING OFFICER</w:t>
      </w:r>
    </w:p>
    <w:p w14:paraId="1607E6D5" w14:textId="77777777" w:rsidR="00186024" w:rsidRDefault="00186024" w:rsidP="00BE2A3F">
      <w:pPr>
        <w:rPr>
          <w:rFonts w:cs="Arial"/>
          <w:b/>
        </w:rPr>
      </w:pPr>
    </w:p>
    <w:p w14:paraId="1607E6D6" w14:textId="77777777" w:rsidR="00677116" w:rsidRPr="00186024" w:rsidRDefault="001F443A" w:rsidP="00186024">
      <w:pPr>
        <w:pStyle w:val="ListParagraph"/>
        <w:numPr>
          <w:ilvl w:val="0"/>
          <w:numId w:val="18"/>
        </w:numPr>
        <w:ind w:left="567" w:hanging="567"/>
        <w:rPr>
          <w:rFonts w:ascii="Arial" w:hAnsi="Arial" w:cs="Arial"/>
        </w:rPr>
      </w:pPr>
      <w:r w:rsidRPr="00186024">
        <w:rPr>
          <w:rFonts w:ascii="Arial" w:hAnsi="Arial" w:cs="Arial"/>
        </w:rPr>
        <w:t>There is no legal requirement to consult with mobile home owners. However a consultation has been carried out to seek the views of those affected by the policy</w:t>
      </w:r>
      <w:r w:rsidR="00186024" w:rsidRPr="00186024">
        <w:rPr>
          <w:rFonts w:ascii="Arial" w:hAnsi="Arial" w:cs="Arial"/>
        </w:rPr>
        <w:t>.</w:t>
      </w:r>
    </w:p>
    <w:p w14:paraId="1607E6D7" w14:textId="77777777" w:rsidR="00186024" w:rsidRPr="00186024" w:rsidRDefault="00186024" w:rsidP="00186024">
      <w:pPr>
        <w:pStyle w:val="ListParagraph"/>
        <w:rPr>
          <w:rFonts w:ascii="Arial" w:hAnsi="Arial" w:cs="Arial"/>
          <w:b/>
        </w:rPr>
      </w:pPr>
    </w:p>
    <w:p w14:paraId="1607E6D8" w14:textId="77777777" w:rsidR="000B5251" w:rsidRPr="00AE7D36" w:rsidRDefault="000B5251" w:rsidP="000B5251">
      <w:pPr>
        <w:rPr>
          <w:rFonts w:cs="Arial"/>
          <w:b/>
          <w:szCs w:val="22"/>
        </w:rPr>
      </w:pPr>
      <w:r w:rsidRPr="00AE7D36">
        <w:rPr>
          <w:rFonts w:cs="Arial"/>
          <w:b/>
          <w:szCs w:val="22"/>
        </w:rPr>
        <w:t xml:space="preserve">OTHER IMPLICATIONS: </w:t>
      </w:r>
    </w:p>
    <w:p w14:paraId="1607E6D9" w14:textId="77777777" w:rsidR="003C36EB" w:rsidRPr="00AE7D36" w:rsidRDefault="003C36EB" w:rsidP="000B5251">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2F5C5E" w:rsidRPr="00A36FBF" w14:paraId="1607E6F4" w14:textId="77777777" w:rsidTr="009C1143">
        <w:trPr>
          <w:trHeight w:val="334"/>
        </w:trPr>
        <w:tc>
          <w:tcPr>
            <w:tcW w:w="3544" w:type="dxa"/>
            <w:shd w:val="clear" w:color="auto" w:fill="auto"/>
          </w:tcPr>
          <w:p w14:paraId="1607E6DA" w14:textId="77777777" w:rsidR="002F5C5E" w:rsidRPr="00AE7D36" w:rsidRDefault="002F5C5E" w:rsidP="00AC4A99">
            <w:pPr>
              <w:rPr>
                <w:rFonts w:cs="Arial"/>
                <w:b/>
                <w:szCs w:val="22"/>
              </w:rPr>
            </w:pPr>
          </w:p>
          <w:p w14:paraId="1607E6DB" w14:textId="77777777" w:rsidR="00A56681" w:rsidRPr="00AE7D36" w:rsidRDefault="00A56681" w:rsidP="00A56681">
            <w:pPr>
              <w:numPr>
                <w:ilvl w:val="0"/>
                <w:numId w:val="11"/>
              </w:numPr>
              <w:ind w:left="360"/>
              <w:rPr>
                <w:rFonts w:cs="Arial"/>
                <w:b/>
                <w:szCs w:val="22"/>
              </w:rPr>
            </w:pPr>
            <w:r w:rsidRPr="00AE7D36">
              <w:rPr>
                <w:rFonts w:cs="Arial"/>
                <w:b/>
                <w:szCs w:val="22"/>
              </w:rPr>
              <w:t xml:space="preserve">HR &amp; Organisational Development </w:t>
            </w:r>
          </w:p>
          <w:p w14:paraId="1607E6DC" w14:textId="77777777" w:rsidR="00A56681" w:rsidRPr="00AE7D36" w:rsidRDefault="00A56681" w:rsidP="00A56681">
            <w:pPr>
              <w:ind w:left="360"/>
              <w:rPr>
                <w:rFonts w:cs="Arial"/>
                <w:b/>
                <w:szCs w:val="22"/>
              </w:rPr>
            </w:pPr>
          </w:p>
          <w:p w14:paraId="1607E6DD" w14:textId="77777777" w:rsidR="00A56681" w:rsidRPr="00AE7D36" w:rsidRDefault="00A56681" w:rsidP="00A56681">
            <w:pPr>
              <w:numPr>
                <w:ilvl w:val="0"/>
                <w:numId w:val="11"/>
              </w:numPr>
              <w:ind w:left="360"/>
              <w:rPr>
                <w:rFonts w:cs="Arial"/>
                <w:b/>
                <w:szCs w:val="22"/>
              </w:rPr>
            </w:pPr>
            <w:r w:rsidRPr="00AE7D36">
              <w:rPr>
                <w:rFonts w:cs="Arial"/>
                <w:b/>
                <w:szCs w:val="22"/>
              </w:rPr>
              <w:t>ICT / Technology</w:t>
            </w:r>
          </w:p>
          <w:p w14:paraId="1607E6DE" w14:textId="77777777" w:rsidR="002F5C5E" w:rsidRPr="00AE7D36" w:rsidRDefault="002F5C5E" w:rsidP="00A56681">
            <w:pPr>
              <w:ind w:left="360"/>
              <w:rPr>
                <w:rFonts w:cs="Arial"/>
                <w:b/>
                <w:szCs w:val="22"/>
              </w:rPr>
            </w:pPr>
          </w:p>
          <w:p w14:paraId="1607E6DF" w14:textId="77777777" w:rsidR="002F5C5E" w:rsidRPr="00AE7D36" w:rsidRDefault="002F5C5E" w:rsidP="0047741D">
            <w:pPr>
              <w:rPr>
                <w:rFonts w:cs="Arial"/>
                <w:b/>
                <w:szCs w:val="22"/>
              </w:rPr>
            </w:pPr>
          </w:p>
          <w:p w14:paraId="1607E6E0" w14:textId="77777777" w:rsidR="00A56681" w:rsidRPr="00AE7D36" w:rsidRDefault="00A56681" w:rsidP="00A56681">
            <w:pPr>
              <w:numPr>
                <w:ilvl w:val="0"/>
                <w:numId w:val="11"/>
              </w:numPr>
              <w:ind w:left="360"/>
              <w:rPr>
                <w:rFonts w:cs="Arial"/>
                <w:b/>
                <w:szCs w:val="22"/>
              </w:rPr>
            </w:pPr>
            <w:r w:rsidRPr="00AE7D36">
              <w:rPr>
                <w:rFonts w:cs="Arial"/>
                <w:b/>
                <w:szCs w:val="22"/>
              </w:rPr>
              <w:t>Property &amp; Asset Management</w:t>
            </w:r>
          </w:p>
          <w:p w14:paraId="1607E6E1" w14:textId="77777777" w:rsidR="00A56681" w:rsidRPr="00AE7D36" w:rsidRDefault="00A56681" w:rsidP="00A56681">
            <w:pPr>
              <w:ind w:left="360"/>
              <w:rPr>
                <w:rFonts w:cs="Arial"/>
                <w:b/>
                <w:szCs w:val="22"/>
              </w:rPr>
            </w:pPr>
          </w:p>
          <w:p w14:paraId="1607E6E2" w14:textId="77777777" w:rsidR="002F5C5E" w:rsidRPr="00AE7D36" w:rsidRDefault="00A56681" w:rsidP="0047741D">
            <w:pPr>
              <w:numPr>
                <w:ilvl w:val="0"/>
                <w:numId w:val="11"/>
              </w:numPr>
              <w:ind w:left="360"/>
              <w:rPr>
                <w:rFonts w:cs="Arial"/>
                <w:b/>
                <w:szCs w:val="22"/>
              </w:rPr>
            </w:pPr>
            <w:r w:rsidRPr="00AE7D36">
              <w:rPr>
                <w:rFonts w:cs="Arial"/>
                <w:b/>
                <w:szCs w:val="22"/>
              </w:rPr>
              <w:t xml:space="preserve">Risk </w:t>
            </w:r>
          </w:p>
          <w:p w14:paraId="1607E6E3" w14:textId="77777777" w:rsidR="003C36EB" w:rsidRPr="00AE7D36" w:rsidRDefault="003C36EB" w:rsidP="0047741D">
            <w:pPr>
              <w:rPr>
                <w:rFonts w:cs="Arial"/>
                <w:b/>
                <w:szCs w:val="22"/>
              </w:rPr>
            </w:pPr>
          </w:p>
          <w:p w14:paraId="1607E6E4" w14:textId="77777777" w:rsidR="002F5C5E" w:rsidRPr="00AE7D36" w:rsidRDefault="00A56681" w:rsidP="00A56681">
            <w:pPr>
              <w:numPr>
                <w:ilvl w:val="0"/>
                <w:numId w:val="11"/>
              </w:numPr>
              <w:ind w:left="360"/>
              <w:rPr>
                <w:rFonts w:cs="Arial"/>
                <w:b/>
                <w:szCs w:val="22"/>
              </w:rPr>
            </w:pPr>
            <w:r w:rsidRPr="00AE7D36">
              <w:rPr>
                <w:rFonts w:cs="Arial"/>
                <w:b/>
                <w:szCs w:val="22"/>
              </w:rPr>
              <w:t xml:space="preserve">Equality &amp; Diversity </w:t>
            </w:r>
          </w:p>
          <w:p w14:paraId="1607E6E5" w14:textId="77777777" w:rsidR="00A56681" w:rsidRPr="00AE7D36" w:rsidRDefault="00A56681" w:rsidP="00A56681">
            <w:pPr>
              <w:rPr>
                <w:rFonts w:cs="Arial"/>
                <w:b/>
                <w:szCs w:val="22"/>
              </w:rPr>
            </w:pPr>
          </w:p>
          <w:p w14:paraId="1607E6E6" w14:textId="77777777" w:rsidR="002F5C5E" w:rsidRPr="00AE7D36" w:rsidRDefault="002F5C5E" w:rsidP="008639CE">
            <w:pPr>
              <w:rPr>
                <w:rFonts w:cs="Arial"/>
                <w:szCs w:val="22"/>
              </w:rPr>
            </w:pPr>
          </w:p>
        </w:tc>
        <w:tc>
          <w:tcPr>
            <w:tcW w:w="6379" w:type="dxa"/>
            <w:shd w:val="clear" w:color="auto" w:fill="auto"/>
          </w:tcPr>
          <w:p w14:paraId="1607E6E7" w14:textId="77777777" w:rsidR="002F5C5E" w:rsidRPr="00AE7D36" w:rsidRDefault="002F5C5E" w:rsidP="00AC4A99">
            <w:pPr>
              <w:rPr>
                <w:rFonts w:cs="Arial"/>
                <w:szCs w:val="22"/>
              </w:rPr>
            </w:pPr>
          </w:p>
          <w:p w14:paraId="1607E6E8" w14:textId="77777777" w:rsidR="00F43895" w:rsidRPr="00186024" w:rsidRDefault="00A25A6A" w:rsidP="00AC4A99">
            <w:pPr>
              <w:rPr>
                <w:rFonts w:cs="Arial"/>
                <w:i/>
                <w:szCs w:val="22"/>
              </w:rPr>
            </w:pPr>
            <w:r w:rsidRPr="00186024">
              <w:rPr>
                <w:rFonts w:cs="Arial"/>
                <w:i/>
                <w:szCs w:val="22"/>
              </w:rPr>
              <w:t>None identified</w:t>
            </w:r>
          </w:p>
          <w:p w14:paraId="1607E6E9" w14:textId="77777777" w:rsidR="00A25A6A" w:rsidRPr="00186024" w:rsidRDefault="00A25A6A" w:rsidP="00AC4A99">
            <w:pPr>
              <w:rPr>
                <w:rFonts w:cs="Arial"/>
                <w:i/>
                <w:szCs w:val="22"/>
              </w:rPr>
            </w:pPr>
          </w:p>
          <w:p w14:paraId="1607E6EA" w14:textId="77777777" w:rsidR="00A25A6A" w:rsidRPr="00186024" w:rsidRDefault="00A25A6A" w:rsidP="00AC4A99">
            <w:pPr>
              <w:rPr>
                <w:rFonts w:cs="Arial"/>
                <w:i/>
                <w:szCs w:val="22"/>
              </w:rPr>
            </w:pPr>
          </w:p>
          <w:p w14:paraId="1607E6EB" w14:textId="77777777" w:rsidR="00A25A6A" w:rsidRPr="00186024" w:rsidRDefault="00A25A6A" w:rsidP="00AC4A99">
            <w:pPr>
              <w:rPr>
                <w:rFonts w:cs="Arial"/>
                <w:i/>
                <w:szCs w:val="22"/>
              </w:rPr>
            </w:pPr>
            <w:r w:rsidRPr="00186024">
              <w:rPr>
                <w:rFonts w:cs="Arial"/>
                <w:i/>
                <w:szCs w:val="22"/>
              </w:rPr>
              <w:t>None identified</w:t>
            </w:r>
          </w:p>
          <w:p w14:paraId="1607E6EC" w14:textId="77777777" w:rsidR="00A25A6A" w:rsidRPr="00186024" w:rsidRDefault="00A25A6A" w:rsidP="00AC4A99">
            <w:pPr>
              <w:rPr>
                <w:rFonts w:cs="Arial"/>
                <w:i/>
                <w:szCs w:val="22"/>
              </w:rPr>
            </w:pPr>
          </w:p>
          <w:p w14:paraId="1607E6ED" w14:textId="77777777" w:rsidR="00A25A6A" w:rsidRPr="00186024" w:rsidRDefault="00A25A6A" w:rsidP="00AC4A99">
            <w:pPr>
              <w:rPr>
                <w:rFonts w:cs="Arial"/>
                <w:i/>
                <w:szCs w:val="22"/>
              </w:rPr>
            </w:pPr>
          </w:p>
          <w:p w14:paraId="1607E6EE" w14:textId="77777777" w:rsidR="00A25A6A" w:rsidRPr="00186024" w:rsidRDefault="00A25A6A" w:rsidP="00AC4A99">
            <w:pPr>
              <w:rPr>
                <w:rFonts w:cs="Arial"/>
                <w:i/>
                <w:szCs w:val="22"/>
              </w:rPr>
            </w:pPr>
            <w:r w:rsidRPr="00186024">
              <w:rPr>
                <w:rFonts w:cs="Arial"/>
                <w:i/>
                <w:szCs w:val="22"/>
              </w:rPr>
              <w:t>None identified</w:t>
            </w:r>
          </w:p>
          <w:p w14:paraId="1607E6EF" w14:textId="77777777" w:rsidR="00A25A6A" w:rsidRPr="00186024" w:rsidRDefault="00A25A6A" w:rsidP="00AC4A99">
            <w:pPr>
              <w:rPr>
                <w:rFonts w:cs="Arial"/>
                <w:i/>
                <w:szCs w:val="22"/>
              </w:rPr>
            </w:pPr>
          </w:p>
          <w:p w14:paraId="1607E6F0" w14:textId="77777777" w:rsidR="00A25A6A" w:rsidRPr="00186024" w:rsidRDefault="00A25A6A" w:rsidP="00AC4A99">
            <w:pPr>
              <w:rPr>
                <w:rFonts w:cs="Arial"/>
                <w:i/>
                <w:szCs w:val="22"/>
              </w:rPr>
            </w:pPr>
          </w:p>
          <w:p w14:paraId="1607E6F1" w14:textId="77777777" w:rsidR="00A25A6A" w:rsidRPr="00186024" w:rsidRDefault="00A25A6A" w:rsidP="00AC4A99">
            <w:pPr>
              <w:rPr>
                <w:rFonts w:cs="Arial"/>
                <w:i/>
                <w:szCs w:val="22"/>
              </w:rPr>
            </w:pPr>
            <w:r w:rsidRPr="00186024">
              <w:rPr>
                <w:rFonts w:cs="Arial"/>
                <w:i/>
                <w:szCs w:val="22"/>
              </w:rPr>
              <w:t>None identified</w:t>
            </w:r>
          </w:p>
          <w:p w14:paraId="1607E6F2" w14:textId="77777777" w:rsidR="00A25A6A" w:rsidRPr="00186024" w:rsidRDefault="00A25A6A" w:rsidP="00AC4A99">
            <w:pPr>
              <w:rPr>
                <w:rFonts w:cs="Arial"/>
                <w:i/>
                <w:szCs w:val="22"/>
              </w:rPr>
            </w:pPr>
          </w:p>
          <w:p w14:paraId="1607E6F3" w14:textId="77777777" w:rsidR="00A25A6A" w:rsidRPr="00AE7D36" w:rsidRDefault="00A25A6A" w:rsidP="00AC4A99">
            <w:pPr>
              <w:rPr>
                <w:rFonts w:cs="Arial"/>
                <w:i/>
                <w:color w:val="2E74B5" w:themeColor="accent1" w:themeShade="BF"/>
                <w:szCs w:val="22"/>
              </w:rPr>
            </w:pPr>
            <w:r w:rsidRPr="00186024">
              <w:rPr>
                <w:rFonts w:cs="Arial"/>
                <w:i/>
                <w:szCs w:val="22"/>
              </w:rPr>
              <w:t xml:space="preserve">None identified </w:t>
            </w:r>
          </w:p>
        </w:tc>
      </w:tr>
    </w:tbl>
    <w:p w14:paraId="1607E6F5" w14:textId="77777777" w:rsidR="00A36FBF" w:rsidRDefault="00A36FBF" w:rsidP="002F5C5E">
      <w:pPr>
        <w:rPr>
          <w:rFonts w:cs="Arial"/>
          <w:b/>
          <w:szCs w:val="22"/>
        </w:rPr>
      </w:pPr>
    </w:p>
    <w:p w14:paraId="1607E6F6" w14:textId="77777777" w:rsidR="000B5251" w:rsidRDefault="000B5251" w:rsidP="000B5251">
      <w:pPr>
        <w:rPr>
          <w:rFonts w:cs="Arial"/>
          <w:b/>
        </w:rPr>
      </w:pPr>
      <w:r w:rsidRPr="00AE7D36">
        <w:rPr>
          <w:rFonts w:cs="Arial"/>
          <w:b/>
        </w:rPr>
        <w:t xml:space="preserve">APPENDICES </w:t>
      </w:r>
    </w:p>
    <w:p w14:paraId="1607E6F7" w14:textId="77777777" w:rsidR="00A36FBF" w:rsidRDefault="00A36FBF" w:rsidP="000B5251">
      <w:pPr>
        <w:rPr>
          <w:rFonts w:cs="Arial"/>
          <w:b/>
        </w:rPr>
      </w:pPr>
    </w:p>
    <w:p w14:paraId="1607E6F8" w14:textId="77777777" w:rsidR="00A36FBF" w:rsidRPr="00AE7D36" w:rsidRDefault="00186024" w:rsidP="000B5251">
      <w:pPr>
        <w:rPr>
          <w:rFonts w:cs="Arial"/>
          <w:b/>
        </w:rPr>
      </w:pPr>
      <w:r>
        <w:rPr>
          <w:rFonts w:cs="Arial"/>
          <w:b/>
        </w:rPr>
        <w:t>Appendix A - P</w:t>
      </w:r>
      <w:r w:rsidR="00677116">
        <w:rPr>
          <w:rFonts w:cs="Arial"/>
          <w:b/>
        </w:rPr>
        <w:t>roposed fees policy</w:t>
      </w:r>
    </w:p>
    <w:p w14:paraId="1607E6F9" w14:textId="77777777" w:rsidR="00EA28EF" w:rsidRPr="00AE7D36" w:rsidRDefault="00EA28EF" w:rsidP="000B5251">
      <w:pPr>
        <w:rPr>
          <w:rFonts w:cs="Arial"/>
          <w:b/>
        </w:rPr>
      </w:pPr>
    </w:p>
    <w:p w14:paraId="1607E6FA" w14:textId="77777777" w:rsidR="000B5251" w:rsidRPr="00AE7D36" w:rsidRDefault="00EA28EF" w:rsidP="000B5251">
      <w:pPr>
        <w:ind w:left="720" w:hanging="720"/>
        <w:rPr>
          <w:rFonts w:cs="Arial"/>
          <w:i/>
        </w:rPr>
      </w:pPr>
      <w:r w:rsidRPr="00AE7D36">
        <w:rPr>
          <w:rFonts w:cs="Arial"/>
          <w:i/>
        </w:rPr>
        <w:t xml:space="preserve"> </w:t>
      </w:r>
    </w:p>
    <w:p w14:paraId="1607E6FB" w14:textId="77777777" w:rsidR="001C5E49" w:rsidRPr="009C4544" w:rsidRDefault="001C5E49" w:rsidP="000B5251">
      <w:pPr>
        <w:tabs>
          <w:tab w:val="left" w:pos="2839"/>
        </w:tabs>
        <w:rPr>
          <w:rFonts w:asciiTheme="minorHAnsi" w:hAnsiTheme="minorHAnsi"/>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5"/>
        <w:gridCol w:w="1555"/>
        <w:gridCol w:w="2350"/>
      </w:tblGrid>
      <w:tr w:rsidR="001C5E49" w:rsidRPr="00A36FBF" w14:paraId="1607E6FF" w14:textId="77777777" w:rsidTr="00EA28EF">
        <w:tc>
          <w:tcPr>
            <w:tcW w:w="5615" w:type="dxa"/>
            <w:shd w:val="clear" w:color="auto" w:fill="auto"/>
          </w:tcPr>
          <w:p w14:paraId="1607E6FC" w14:textId="77777777" w:rsidR="001C5E49" w:rsidRPr="00AE7D36" w:rsidRDefault="001C5E49" w:rsidP="00E2196F">
            <w:pPr>
              <w:rPr>
                <w:rFonts w:cs="Arial"/>
              </w:rPr>
            </w:pPr>
            <w:r w:rsidRPr="00AE7D36">
              <w:rPr>
                <w:rFonts w:cs="Arial"/>
              </w:rPr>
              <w:t>Report Author:</w:t>
            </w:r>
          </w:p>
        </w:tc>
        <w:tc>
          <w:tcPr>
            <w:tcW w:w="1555" w:type="dxa"/>
            <w:shd w:val="clear" w:color="auto" w:fill="auto"/>
          </w:tcPr>
          <w:p w14:paraId="1607E6FD" w14:textId="77777777" w:rsidR="001C5E49" w:rsidRPr="00AE7D36" w:rsidRDefault="001C5E49" w:rsidP="00E2196F">
            <w:pPr>
              <w:rPr>
                <w:rFonts w:cs="Arial"/>
              </w:rPr>
            </w:pPr>
            <w:r w:rsidRPr="00AE7D36">
              <w:rPr>
                <w:rFonts w:cs="Arial"/>
              </w:rPr>
              <w:t>Telephone:</w:t>
            </w:r>
          </w:p>
        </w:tc>
        <w:tc>
          <w:tcPr>
            <w:tcW w:w="2350" w:type="dxa"/>
            <w:shd w:val="clear" w:color="auto" w:fill="auto"/>
          </w:tcPr>
          <w:p w14:paraId="1607E6FE" w14:textId="77777777" w:rsidR="001C5E49" w:rsidRPr="00AE7D36" w:rsidRDefault="001C5E49" w:rsidP="00E2196F">
            <w:pPr>
              <w:rPr>
                <w:rFonts w:cs="Arial"/>
              </w:rPr>
            </w:pPr>
            <w:r w:rsidRPr="00AE7D36">
              <w:rPr>
                <w:rFonts w:cs="Arial"/>
              </w:rPr>
              <w:t>Date:</w:t>
            </w:r>
          </w:p>
        </w:tc>
      </w:tr>
      <w:tr w:rsidR="00C903AC" w:rsidRPr="00A36FBF" w14:paraId="1607E703" w14:textId="77777777" w:rsidTr="00EA28EF">
        <w:tc>
          <w:tcPr>
            <w:tcW w:w="5615" w:type="dxa"/>
            <w:shd w:val="clear" w:color="auto" w:fill="auto"/>
          </w:tcPr>
          <w:p w14:paraId="1607E700" w14:textId="77777777" w:rsidR="00C903AC" w:rsidRPr="00AE7D36" w:rsidRDefault="008639CE" w:rsidP="008639CE">
            <w:pPr>
              <w:rPr>
                <w:rFonts w:cs="Arial"/>
              </w:rPr>
            </w:pPr>
            <w:r w:rsidRPr="00AE7D36">
              <w:rPr>
                <w:rFonts w:cs="Arial"/>
              </w:rPr>
              <w:t>Mark Marshall</w:t>
            </w:r>
          </w:p>
        </w:tc>
        <w:tc>
          <w:tcPr>
            <w:tcW w:w="1555" w:type="dxa"/>
            <w:shd w:val="clear" w:color="auto" w:fill="auto"/>
          </w:tcPr>
          <w:p w14:paraId="1607E701" w14:textId="77777777" w:rsidR="00C903AC" w:rsidRPr="00AE7D36" w:rsidRDefault="008639CE" w:rsidP="00C903AC">
            <w:pPr>
              <w:rPr>
                <w:rFonts w:cs="Arial"/>
              </w:rPr>
            </w:pPr>
            <w:r w:rsidRPr="00AE7D36">
              <w:rPr>
                <w:rFonts w:cs="Arial"/>
              </w:rPr>
              <w:t>01772 62</w:t>
            </w:r>
            <w:r w:rsidR="00EA28EF" w:rsidRPr="00AE7D36">
              <w:rPr>
                <w:rFonts w:cs="Arial"/>
              </w:rPr>
              <w:t>5401</w:t>
            </w:r>
          </w:p>
        </w:tc>
        <w:tc>
          <w:tcPr>
            <w:tcW w:w="2350" w:type="dxa"/>
            <w:shd w:val="clear" w:color="auto" w:fill="auto"/>
          </w:tcPr>
          <w:p w14:paraId="1607E702" w14:textId="77777777" w:rsidR="00C903AC" w:rsidRPr="00AE7D36" w:rsidRDefault="00C903AC" w:rsidP="00C903AC">
            <w:pPr>
              <w:rPr>
                <w:rFonts w:cs="Arial"/>
              </w:rPr>
            </w:pPr>
          </w:p>
        </w:tc>
      </w:tr>
    </w:tbl>
    <w:p w14:paraId="1607E704" w14:textId="77777777" w:rsidR="001C5E49" w:rsidRPr="00AE7D36" w:rsidRDefault="001C5E49" w:rsidP="001C5E49">
      <w:pPr>
        <w:tabs>
          <w:tab w:val="left" w:pos="2839"/>
        </w:tabs>
        <w:rPr>
          <w:rFonts w:cs="Arial"/>
        </w:rPr>
      </w:pPr>
    </w:p>
    <w:sectPr w:rsidR="001C5E49" w:rsidRPr="00AE7D36"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7E709" w14:textId="77777777" w:rsidR="00CE76E4" w:rsidRDefault="00CE76E4">
      <w:r>
        <w:separator/>
      </w:r>
    </w:p>
  </w:endnote>
  <w:endnote w:type="continuationSeparator" w:id="0">
    <w:p w14:paraId="1607E70A" w14:textId="77777777" w:rsidR="00CE76E4" w:rsidRDefault="00CE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E70B"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C71AE4">
      <w:rPr>
        <w:noProof/>
        <w:sz w:val="24"/>
      </w:rPr>
      <w:t>2</w:t>
    </w:r>
    <w:r w:rsidRPr="00FD7B65">
      <w:rPr>
        <w:noProof/>
        <w:sz w:val="24"/>
      </w:rPr>
      <w:fldChar w:fldCharType="end"/>
    </w:r>
  </w:p>
  <w:p w14:paraId="1607E70C"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7E707" w14:textId="77777777" w:rsidR="00CE76E4" w:rsidRDefault="00CE76E4">
      <w:r>
        <w:separator/>
      </w:r>
    </w:p>
  </w:footnote>
  <w:footnote w:type="continuationSeparator" w:id="0">
    <w:p w14:paraId="1607E708" w14:textId="77777777" w:rsidR="00CE76E4" w:rsidRDefault="00CE7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8"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D6F4128"/>
    <w:multiLevelType w:val="hybridMultilevel"/>
    <w:tmpl w:val="92C037FC"/>
    <w:lvl w:ilvl="0" w:tplc="1B5E30B8">
      <w:start w:val="1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AF5325"/>
    <w:multiLevelType w:val="hybridMultilevel"/>
    <w:tmpl w:val="16147AA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F5545"/>
    <w:multiLevelType w:val="hybridMultilevel"/>
    <w:tmpl w:val="610A192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6"/>
  </w:num>
  <w:num w:numId="4">
    <w:abstractNumId w:val="8"/>
  </w:num>
  <w:num w:numId="5">
    <w:abstractNumId w:val="12"/>
  </w:num>
  <w:num w:numId="6">
    <w:abstractNumId w:val="6"/>
  </w:num>
  <w:num w:numId="7">
    <w:abstractNumId w:val="4"/>
  </w:num>
  <w:num w:numId="8">
    <w:abstractNumId w:val="5"/>
  </w:num>
  <w:num w:numId="9">
    <w:abstractNumId w:val="1"/>
  </w:num>
  <w:num w:numId="10">
    <w:abstractNumId w:val="2"/>
  </w:num>
  <w:num w:numId="11">
    <w:abstractNumId w:val="3"/>
  </w:num>
  <w:num w:numId="12">
    <w:abstractNumId w:val="10"/>
  </w:num>
  <w:num w:numId="13">
    <w:abstractNumId w:val="0"/>
  </w:num>
  <w:num w:numId="14">
    <w:abstractNumId w:val="17"/>
  </w:num>
  <w:num w:numId="15">
    <w:abstractNumId w:val="7"/>
  </w:num>
  <w:num w:numId="16">
    <w:abstractNumId w:val="14"/>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16DD3"/>
    <w:rsid w:val="00025DED"/>
    <w:rsid w:val="00047F24"/>
    <w:rsid w:val="00052B5A"/>
    <w:rsid w:val="00077A35"/>
    <w:rsid w:val="000917D6"/>
    <w:rsid w:val="000B5251"/>
    <w:rsid w:val="000E10FE"/>
    <w:rsid w:val="000F2C8A"/>
    <w:rsid w:val="001544DD"/>
    <w:rsid w:val="00173D89"/>
    <w:rsid w:val="0018297F"/>
    <w:rsid w:val="00184E1D"/>
    <w:rsid w:val="00186024"/>
    <w:rsid w:val="001938D6"/>
    <w:rsid w:val="001A7FAA"/>
    <w:rsid w:val="001B5FEB"/>
    <w:rsid w:val="001C5E49"/>
    <w:rsid w:val="001E323B"/>
    <w:rsid w:val="001E4B07"/>
    <w:rsid w:val="001F443A"/>
    <w:rsid w:val="001F5A1E"/>
    <w:rsid w:val="002221BD"/>
    <w:rsid w:val="0025591B"/>
    <w:rsid w:val="002820A5"/>
    <w:rsid w:val="002B2179"/>
    <w:rsid w:val="002B2958"/>
    <w:rsid w:val="002E277F"/>
    <w:rsid w:val="002E4FF4"/>
    <w:rsid w:val="002F5C5E"/>
    <w:rsid w:val="003147A5"/>
    <w:rsid w:val="00341A52"/>
    <w:rsid w:val="0034285E"/>
    <w:rsid w:val="00342AB1"/>
    <w:rsid w:val="00345C71"/>
    <w:rsid w:val="00386AAD"/>
    <w:rsid w:val="003902A2"/>
    <w:rsid w:val="003A1B3F"/>
    <w:rsid w:val="003A1F0B"/>
    <w:rsid w:val="003A23D3"/>
    <w:rsid w:val="003A2919"/>
    <w:rsid w:val="003A53BC"/>
    <w:rsid w:val="003A6BFE"/>
    <w:rsid w:val="003B1E6D"/>
    <w:rsid w:val="003C36EB"/>
    <w:rsid w:val="003E33E6"/>
    <w:rsid w:val="003F5603"/>
    <w:rsid w:val="00405D4A"/>
    <w:rsid w:val="004218EA"/>
    <w:rsid w:val="00431130"/>
    <w:rsid w:val="00442C46"/>
    <w:rsid w:val="00474DA8"/>
    <w:rsid w:val="0047741D"/>
    <w:rsid w:val="004A36DA"/>
    <w:rsid w:val="004A45D4"/>
    <w:rsid w:val="004C0685"/>
    <w:rsid w:val="004D7260"/>
    <w:rsid w:val="004F23B3"/>
    <w:rsid w:val="005041BB"/>
    <w:rsid w:val="00521878"/>
    <w:rsid w:val="00524482"/>
    <w:rsid w:val="00525728"/>
    <w:rsid w:val="00533525"/>
    <w:rsid w:val="00547120"/>
    <w:rsid w:val="00547481"/>
    <w:rsid w:val="00563009"/>
    <w:rsid w:val="00576A82"/>
    <w:rsid w:val="0058792F"/>
    <w:rsid w:val="005A0CED"/>
    <w:rsid w:val="005A26AD"/>
    <w:rsid w:val="005B0C36"/>
    <w:rsid w:val="005D4F59"/>
    <w:rsid w:val="0060374B"/>
    <w:rsid w:val="006206A5"/>
    <w:rsid w:val="00630F86"/>
    <w:rsid w:val="00633396"/>
    <w:rsid w:val="00633DEC"/>
    <w:rsid w:val="00645A0B"/>
    <w:rsid w:val="006526B4"/>
    <w:rsid w:val="006555E6"/>
    <w:rsid w:val="00670423"/>
    <w:rsid w:val="00672165"/>
    <w:rsid w:val="00676953"/>
    <w:rsid w:val="00677116"/>
    <w:rsid w:val="006879CA"/>
    <w:rsid w:val="006B645E"/>
    <w:rsid w:val="006B7116"/>
    <w:rsid w:val="006C04C1"/>
    <w:rsid w:val="006C209A"/>
    <w:rsid w:val="006E09FB"/>
    <w:rsid w:val="006F2214"/>
    <w:rsid w:val="006F4CB4"/>
    <w:rsid w:val="006F76A3"/>
    <w:rsid w:val="00707E99"/>
    <w:rsid w:val="00711E5D"/>
    <w:rsid w:val="00712E3F"/>
    <w:rsid w:val="00713C35"/>
    <w:rsid w:val="00735025"/>
    <w:rsid w:val="00772B9C"/>
    <w:rsid w:val="00791954"/>
    <w:rsid w:val="00792A2B"/>
    <w:rsid w:val="007B14EE"/>
    <w:rsid w:val="007B4F12"/>
    <w:rsid w:val="007E39F1"/>
    <w:rsid w:val="00801695"/>
    <w:rsid w:val="008639CE"/>
    <w:rsid w:val="008905F4"/>
    <w:rsid w:val="00893AD2"/>
    <w:rsid w:val="008A2F6B"/>
    <w:rsid w:val="008A42E3"/>
    <w:rsid w:val="008A77AB"/>
    <w:rsid w:val="008B41C5"/>
    <w:rsid w:val="008B488E"/>
    <w:rsid w:val="008C3B1A"/>
    <w:rsid w:val="008D623F"/>
    <w:rsid w:val="008F4B91"/>
    <w:rsid w:val="008F7550"/>
    <w:rsid w:val="0090542C"/>
    <w:rsid w:val="00906D70"/>
    <w:rsid w:val="00914AB1"/>
    <w:rsid w:val="009350CB"/>
    <w:rsid w:val="009538AE"/>
    <w:rsid w:val="00980267"/>
    <w:rsid w:val="00983CD5"/>
    <w:rsid w:val="00992E79"/>
    <w:rsid w:val="009A714A"/>
    <w:rsid w:val="009C1143"/>
    <w:rsid w:val="009C4544"/>
    <w:rsid w:val="009E48E0"/>
    <w:rsid w:val="00A1406A"/>
    <w:rsid w:val="00A22D02"/>
    <w:rsid w:val="00A25A6A"/>
    <w:rsid w:val="00A30426"/>
    <w:rsid w:val="00A36FBF"/>
    <w:rsid w:val="00A42C81"/>
    <w:rsid w:val="00A4702E"/>
    <w:rsid w:val="00A50754"/>
    <w:rsid w:val="00A56681"/>
    <w:rsid w:val="00A76482"/>
    <w:rsid w:val="00AC2185"/>
    <w:rsid w:val="00AC4A99"/>
    <w:rsid w:val="00AE1282"/>
    <w:rsid w:val="00AE7D36"/>
    <w:rsid w:val="00B05FE8"/>
    <w:rsid w:val="00B1788B"/>
    <w:rsid w:val="00B25D02"/>
    <w:rsid w:val="00B33005"/>
    <w:rsid w:val="00B33681"/>
    <w:rsid w:val="00B41C7A"/>
    <w:rsid w:val="00B443DD"/>
    <w:rsid w:val="00B478D3"/>
    <w:rsid w:val="00B51DB8"/>
    <w:rsid w:val="00B62D79"/>
    <w:rsid w:val="00B6669D"/>
    <w:rsid w:val="00B70B91"/>
    <w:rsid w:val="00B716F5"/>
    <w:rsid w:val="00B72A06"/>
    <w:rsid w:val="00B766C4"/>
    <w:rsid w:val="00B844C7"/>
    <w:rsid w:val="00B92298"/>
    <w:rsid w:val="00BA2606"/>
    <w:rsid w:val="00BB6DCE"/>
    <w:rsid w:val="00BC2417"/>
    <w:rsid w:val="00BC6635"/>
    <w:rsid w:val="00BE2A3F"/>
    <w:rsid w:val="00C013AD"/>
    <w:rsid w:val="00C022F9"/>
    <w:rsid w:val="00C1070C"/>
    <w:rsid w:val="00C209E3"/>
    <w:rsid w:val="00C2786F"/>
    <w:rsid w:val="00C30128"/>
    <w:rsid w:val="00C35FBD"/>
    <w:rsid w:val="00C42883"/>
    <w:rsid w:val="00C4454E"/>
    <w:rsid w:val="00C52450"/>
    <w:rsid w:val="00C53DF0"/>
    <w:rsid w:val="00C64ED1"/>
    <w:rsid w:val="00C66BAA"/>
    <w:rsid w:val="00C71AE4"/>
    <w:rsid w:val="00C903AC"/>
    <w:rsid w:val="00CB32DF"/>
    <w:rsid w:val="00CB7C90"/>
    <w:rsid w:val="00CC3246"/>
    <w:rsid w:val="00CD6256"/>
    <w:rsid w:val="00CD6D16"/>
    <w:rsid w:val="00CE3DA1"/>
    <w:rsid w:val="00CE4482"/>
    <w:rsid w:val="00CE76E4"/>
    <w:rsid w:val="00CF30BB"/>
    <w:rsid w:val="00CF6B60"/>
    <w:rsid w:val="00D03328"/>
    <w:rsid w:val="00D0463D"/>
    <w:rsid w:val="00D3426C"/>
    <w:rsid w:val="00D36638"/>
    <w:rsid w:val="00D37BAE"/>
    <w:rsid w:val="00D72071"/>
    <w:rsid w:val="00D772AB"/>
    <w:rsid w:val="00D90A00"/>
    <w:rsid w:val="00D91845"/>
    <w:rsid w:val="00D9371C"/>
    <w:rsid w:val="00DB3FD0"/>
    <w:rsid w:val="00DE5E12"/>
    <w:rsid w:val="00E16646"/>
    <w:rsid w:val="00E2196F"/>
    <w:rsid w:val="00E2276E"/>
    <w:rsid w:val="00E41950"/>
    <w:rsid w:val="00E569CB"/>
    <w:rsid w:val="00E577A2"/>
    <w:rsid w:val="00E60A53"/>
    <w:rsid w:val="00E63940"/>
    <w:rsid w:val="00E6563D"/>
    <w:rsid w:val="00E67FB4"/>
    <w:rsid w:val="00E733A5"/>
    <w:rsid w:val="00E753EC"/>
    <w:rsid w:val="00E772B8"/>
    <w:rsid w:val="00E84459"/>
    <w:rsid w:val="00E971A2"/>
    <w:rsid w:val="00EA28EF"/>
    <w:rsid w:val="00EB0249"/>
    <w:rsid w:val="00EB2D32"/>
    <w:rsid w:val="00EB7C94"/>
    <w:rsid w:val="00ED257A"/>
    <w:rsid w:val="00ED6719"/>
    <w:rsid w:val="00EE2B78"/>
    <w:rsid w:val="00EF52A4"/>
    <w:rsid w:val="00F12001"/>
    <w:rsid w:val="00F25353"/>
    <w:rsid w:val="00F3057A"/>
    <w:rsid w:val="00F30E9C"/>
    <w:rsid w:val="00F43895"/>
    <w:rsid w:val="00F55E4D"/>
    <w:rsid w:val="00F61752"/>
    <w:rsid w:val="00F67F95"/>
    <w:rsid w:val="00F96ABC"/>
    <w:rsid w:val="00FC6A1D"/>
    <w:rsid w:val="00FD7B65"/>
    <w:rsid w:val="00FF0A38"/>
    <w:rsid w:val="00FF4999"/>
    <w:rsid w:val="00FF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607E675"/>
  <w15:chartTrackingRefBased/>
  <w15:docId w15:val="{9182FD2E-A127-42BB-A5F6-47BCA756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C42883"/>
    <w:pPr>
      <w:autoSpaceDE w:val="0"/>
      <w:autoSpaceDN w:val="0"/>
      <w:adjustRightInd w:val="0"/>
    </w:pPr>
    <w:rPr>
      <w:rFonts w:ascii="Arial" w:hAnsi="Arial" w:cs="Arial"/>
      <w:color w:val="000000"/>
      <w:sz w:val="24"/>
      <w:szCs w:val="24"/>
    </w:rPr>
  </w:style>
  <w:style w:type="paragraph" w:styleId="NoSpacing">
    <w:name w:val="No Spacing"/>
    <w:uiPriority w:val="1"/>
    <w:qFormat/>
    <w:rsid w:val="00A36FBF"/>
    <w:rPr>
      <w:rFonts w:ascii="Arial" w:hAnsi="Arial"/>
      <w:sz w:val="22"/>
    </w:rPr>
  </w:style>
  <w:style w:type="character" w:styleId="CommentReference">
    <w:name w:val="annotation reference"/>
    <w:basedOn w:val="DefaultParagraphFont"/>
    <w:uiPriority w:val="99"/>
    <w:semiHidden/>
    <w:unhideWhenUsed/>
    <w:rsid w:val="00A25A6A"/>
    <w:rPr>
      <w:sz w:val="16"/>
      <w:szCs w:val="16"/>
    </w:rPr>
  </w:style>
  <w:style w:type="paragraph" w:styleId="CommentText">
    <w:name w:val="annotation text"/>
    <w:basedOn w:val="Normal"/>
    <w:link w:val="CommentTextChar"/>
    <w:uiPriority w:val="99"/>
    <w:semiHidden/>
    <w:unhideWhenUsed/>
    <w:rsid w:val="00A25A6A"/>
    <w:rPr>
      <w:sz w:val="20"/>
    </w:rPr>
  </w:style>
  <w:style w:type="character" w:customStyle="1" w:styleId="CommentTextChar">
    <w:name w:val="Comment Text Char"/>
    <w:basedOn w:val="DefaultParagraphFont"/>
    <w:link w:val="CommentText"/>
    <w:uiPriority w:val="99"/>
    <w:semiHidden/>
    <w:rsid w:val="00A25A6A"/>
    <w:rPr>
      <w:rFonts w:ascii="Arial" w:hAnsi="Arial"/>
    </w:rPr>
  </w:style>
  <w:style w:type="paragraph" w:styleId="CommentSubject">
    <w:name w:val="annotation subject"/>
    <w:basedOn w:val="CommentText"/>
    <w:next w:val="CommentText"/>
    <w:link w:val="CommentSubjectChar"/>
    <w:uiPriority w:val="99"/>
    <w:semiHidden/>
    <w:unhideWhenUsed/>
    <w:rsid w:val="00A25A6A"/>
    <w:rPr>
      <w:b/>
      <w:bCs/>
    </w:rPr>
  </w:style>
  <w:style w:type="character" w:customStyle="1" w:styleId="CommentSubjectChar">
    <w:name w:val="Comment Subject Char"/>
    <w:basedOn w:val="CommentTextChar"/>
    <w:link w:val="CommentSubject"/>
    <w:uiPriority w:val="99"/>
    <w:semiHidden/>
    <w:rsid w:val="00A25A6A"/>
    <w:rPr>
      <w:rFonts w:ascii="Arial" w:hAnsi="Arial"/>
      <w:b/>
      <w:bCs/>
    </w:rPr>
  </w:style>
  <w:style w:type="paragraph" w:styleId="Revision">
    <w:name w:val="Revision"/>
    <w:hidden/>
    <w:uiPriority w:val="99"/>
    <w:semiHidden/>
    <w:rsid w:val="00E6563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7631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95EDE-6105-46DA-ACEC-B51152E2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3</Pages>
  <Words>873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subject/>
  <dc:creator>GX0620</dc:creator>
  <cp:keywords/>
  <cp:lastModifiedBy>Scambler, Dianne</cp:lastModifiedBy>
  <cp:revision>3</cp:revision>
  <cp:lastPrinted>2018-03-14T15:24:00Z</cp:lastPrinted>
  <dcterms:created xsi:type="dcterms:W3CDTF">2019-09-16T16:01:00Z</dcterms:created>
  <dcterms:modified xsi:type="dcterms:W3CDTF">2019-09-16T16:19:00Z</dcterms:modified>
</cp:coreProperties>
</file>