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20986259" w14:textId="77777777" w:rsidTr="00491976">
        <w:trPr>
          <w:gridAfter w:val="1"/>
          <w:wAfter w:w="2551" w:type="dxa"/>
          <w:cantSplit/>
          <w:trHeight w:val="569"/>
        </w:trPr>
        <w:tc>
          <w:tcPr>
            <w:tcW w:w="4928" w:type="dxa"/>
            <w:shd w:val="clear" w:color="auto" w:fill="BFBFBF"/>
            <w:vAlign w:val="center"/>
          </w:tcPr>
          <w:p w14:paraId="5538BFC7"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55D25A78" wp14:editId="01E58257">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7D221BFB" w14:textId="77777777" w:rsidR="00491976" w:rsidRPr="009E2B84" w:rsidRDefault="00491976" w:rsidP="00AC4A99">
            <w:pPr>
              <w:jc w:val="center"/>
              <w:rPr>
                <w:b/>
              </w:rPr>
            </w:pPr>
            <w:r w:rsidRPr="009E2B84">
              <w:rPr>
                <w:b/>
              </w:rPr>
              <w:t>ON</w:t>
            </w:r>
          </w:p>
        </w:tc>
      </w:tr>
      <w:tr w:rsidR="00491976" w:rsidRPr="009E2B84" w14:paraId="3BC22041" w14:textId="77777777" w:rsidTr="00491976">
        <w:trPr>
          <w:gridAfter w:val="1"/>
          <w:wAfter w:w="2551" w:type="dxa"/>
          <w:cantSplit/>
          <w:trHeight w:val="654"/>
        </w:trPr>
        <w:tc>
          <w:tcPr>
            <w:tcW w:w="4928" w:type="dxa"/>
            <w:tcBorders>
              <w:bottom w:val="nil"/>
            </w:tcBorders>
            <w:vAlign w:val="center"/>
          </w:tcPr>
          <w:p w14:paraId="1101B50B"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098B3021" w14:textId="77777777" w:rsidR="00491976" w:rsidRPr="007359FC" w:rsidRDefault="007359FC" w:rsidP="001000E7">
            <w:pPr>
              <w:jc w:val="center"/>
              <w:rPr>
                <w:b/>
              </w:rPr>
            </w:pPr>
            <w:r w:rsidRPr="007359FC">
              <w:t>11 September 2019</w:t>
            </w:r>
          </w:p>
        </w:tc>
      </w:tr>
      <w:tr w:rsidR="00491976" w:rsidRPr="009E2B84" w14:paraId="6974D290" w14:textId="77777777" w:rsidTr="00491976">
        <w:trPr>
          <w:gridAfter w:val="1"/>
          <w:wAfter w:w="2551" w:type="dxa"/>
          <w:cantSplit/>
          <w:trHeight w:val="560"/>
        </w:trPr>
        <w:tc>
          <w:tcPr>
            <w:tcW w:w="7338" w:type="dxa"/>
            <w:gridSpan w:val="2"/>
            <w:tcBorders>
              <w:left w:val="nil"/>
              <w:right w:val="nil"/>
            </w:tcBorders>
          </w:tcPr>
          <w:p w14:paraId="215C3548" w14:textId="77777777" w:rsidR="00491976" w:rsidRPr="009E2B84" w:rsidRDefault="00491976" w:rsidP="00407A09">
            <w:pPr>
              <w:jc w:val="right"/>
              <w:rPr>
                <w:sz w:val="8"/>
              </w:rPr>
            </w:pPr>
          </w:p>
        </w:tc>
      </w:tr>
      <w:tr w:rsidR="00491976" w:rsidRPr="009E2B84" w14:paraId="69B6E71B" w14:textId="77777777" w:rsidTr="00491976">
        <w:trPr>
          <w:cantSplit/>
        </w:trPr>
        <w:tc>
          <w:tcPr>
            <w:tcW w:w="4928" w:type="dxa"/>
            <w:shd w:val="clear" w:color="auto" w:fill="BFBFBF"/>
            <w:vAlign w:val="center"/>
          </w:tcPr>
          <w:p w14:paraId="41BEBC1F"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4D43DAFC"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3F34DAB3" w14:textId="77777777" w:rsidR="00491976" w:rsidRPr="009E2B84" w:rsidRDefault="00E51F90" w:rsidP="00AC4A99">
            <w:pPr>
              <w:jc w:val="center"/>
              <w:rPr>
                <w:b/>
              </w:rPr>
            </w:pPr>
            <w:r>
              <w:rPr>
                <w:b/>
              </w:rPr>
              <w:t>REP</w:t>
            </w:r>
            <w:r w:rsidR="00491976">
              <w:rPr>
                <w:b/>
              </w:rPr>
              <w:t>ORT OF</w:t>
            </w:r>
          </w:p>
        </w:tc>
      </w:tr>
      <w:tr w:rsidR="00491976" w:rsidRPr="009E2B84" w14:paraId="2803BCEB" w14:textId="77777777" w:rsidTr="00491976">
        <w:trPr>
          <w:cantSplit/>
          <w:trHeight w:val="667"/>
        </w:trPr>
        <w:tc>
          <w:tcPr>
            <w:tcW w:w="4928" w:type="dxa"/>
            <w:vAlign w:val="center"/>
          </w:tcPr>
          <w:p w14:paraId="28CCEE19" w14:textId="77777777" w:rsidR="00491976" w:rsidRDefault="00491976" w:rsidP="00AC4A99">
            <w:pPr>
              <w:rPr>
                <w:b/>
              </w:rPr>
            </w:pPr>
          </w:p>
          <w:p w14:paraId="58D6EF26" w14:textId="77777777" w:rsidR="007359FC" w:rsidRPr="009E2B84" w:rsidRDefault="0018366E" w:rsidP="00AC4A99">
            <w:pPr>
              <w:rPr>
                <w:b/>
              </w:rPr>
            </w:pPr>
            <w:r>
              <w:rPr>
                <w:b/>
              </w:rPr>
              <w:t>Lancashire Business Rates Pool</w:t>
            </w:r>
          </w:p>
          <w:p w14:paraId="48A17C3D" w14:textId="77777777" w:rsidR="00491976" w:rsidRPr="009E2B84" w:rsidRDefault="00491976" w:rsidP="007359FC">
            <w:pPr>
              <w:rPr>
                <w:b/>
              </w:rPr>
            </w:pPr>
          </w:p>
        </w:tc>
        <w:tc>
          <w:tcPr>
            <w:tcW w:w="2410" w:type="dxa"/>
            <w:vAlign w:val="center"/>
          </w:tcPr>
          <w:p w14:paraId="76281E87" w14:textId="77777777" w:rsidR="00491976" w:rsidRPr="00F2517D" w:rsidRDefault="00F2517D" w:rsidP="00F2517D">
            <w:pPr>
              <w:jc w:val="center"/>
              <w:rPr>
                <w:b/>
              </w:rPr>
            </w:pPr>
            <w:r w:rsidRPr="00F2517D">
              <w:t>Finance, Property and Assets</w:t>
            </w:r>
          </w:p>
        </w:tc>
        <w:tc>
          <w:tcPr>
            <w:tcW w:w="2551" w:type="dxa"/>
            <w:vAlign w:val="center"/>
          </w:tcPr>
          <w:p w14:paraId="7C28103C" w14:textId="17F24784" w:rsidR="00491976" w:rsidRPr="00F2517D" w:rsidRDefault="00F2517D" w:rsidP="006C5B1A">
            <w:pPr>
              <w:jc w:val="center"/>
            </w:pPr>
            <w:r w:rsidRPr="00F2517D">
              <w:t xml:space="preserve">Interim </w:t>
            </w:r>
            <w:r w:rsidR="006C5B1A">
              <w:t>S</w:t>
            </w:r>
            <w:r w:rsidR="008F3E71">
              <w:t xml:space="preserve">ection </w:t>
            </w:r>
            <w:r w:rsidRPr="00F2517D">
              <w:t>151 Officer</w:t>
            </w:r>
          </w:p>
        </w:tc>
      </w:tr>
    </w:tbl>
    <w:p w14:paraId="3273453C"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5F7F3D42" w14:textId="77777777" w:rsidTr="00E50A9C">
        <w:tc>
          <w:tcPr>
            <w:tcW w:w="9918" w:type="dxa"/>
            <w:gridSpan w:val="2"/>
            <w:tcBorders>
              <w:top w:val="nil"/>
              <w:left w:val="nil"/>
              <w:right w:val="nil"/>
            </w:tcBorders>
            <w:shd w:val="clear" w:color="auto" w:fill="auto"/>
          </w:tcPr>
          <w:p w14:paraId="0B33DBAD" w14:textId="77777777" w:rsidR="002F5C5E" w:rsidRPr="009C1143" w:rsidRDefault="002F5C5E" w:rsidP="00AC4A99">
            <w:pPr>
              <w:tabs>
                <w:tab w:val="left" w:pos="1055"/>
              </w:tabs>
              <w:rPr>
                <w:i/>
                <w:color w:val="2E74B5"/>
                <w:szCs w:val="22"/>
              </w:rPr>
            </w:pPr>
          </w:p>
        </w:tc>
      </w:tr>
      <w:tr w:rsidR="002F5C5E" w:rsidRPr="009C1143" w14:paraId="71225B8D" w14:textId="77777777" w:rsidTr="00AC4A99">
        <w:tc>
          <w:tcPr>
            <w:tcW w:w="6652" w:type="dxa"/>
            <w:shd w:val="clear" w:color="auto" w:fill="auto"/>
          </w:tcPr>
          <w:p w14:paraId="2F5DFCC5"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43B6EBB5" w14:textId="77777777" w:rsidR="002F5C5E" w:rsidRPr="009C1143" w:rsidRDefault="002F5C5E" w:rsidP="00AC4A99">
            <w:pPr>
              <w:rPr>
                <w:szCs w:val="22"/>
              </w:rPr>
            </w:pPr>
          </w:p>
          <w:p w14:paraId="5B7D45EF"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6FF0D117" w14:textId="77777777" w:rsidR="002F5C5E" w:rsidRDefault="002F5C5E" w:rsidP="00AC4A99">
            <w:pPr>
              <w:rPr>
                <w:szCs w:val="22"/>
              </w:rPr>
            </w:pPr>
          </w:p>
          <w:p w14:paraId="04925572"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7CE4B414" w14:textId="77777777" w:rsidR="002F5C5E" w:rsidRDefault="002F5C5E" w:rsidP="00AC4A99">
            <w:pPr>
              <w:rPr>
                <w:szCs w:val="22"/>
              </w:rPr>
            </w:pPr>
          </w:p>
          <w:p w14:paraId="6CDD4FE9" w14:textId="77777777" w:rsidR="00E50A9C" w:rsidRDefault="00E50A9C" w:rsidP="00AC4A99">
            <w:pPr>
              <w:rPr>
                <w:szCs w:val="22"/>
              </w:rPr>
            </w:pPr>
            <w:r>
              <w:rPr>
                <w:szCs w:val="22"/>
              </w:rPr>
              <w:t>Is this report confidential?</w:t>
            </w:r>
          </w:p>
          <w:p w14:paraId="014F862C" w14:textId="77777777" w:rsidR="00F2517D" w:rsidRPr="009C1143" w:rsidRDefault="00F2517D" w:rsidP="00AC4A99">
            <w:pPr>
              <w:rPr>
                <w:szCs w:val="22"/>
              </w:rPr>
            </w:pPr>
          </w:p>
        </w:tc>
        <w:tc>
          <w:tcPr>
            <w:tcW w:w="3266" w:type="dxa"/>
            <w:shd w:val="clear" w:color="auto" w:fill="auto"/>
          </w:tcPr>
          <w:p w14:paraId="62DB0872" w14:textId="77777777" w:rsidR="002F5C5E" w:rsidRPr="00F3057A" w:rsidRDefault="002F5C5E" w:rsidP="00AC4A99">
            <w:pPr>
              <w:rPr>
                <w:b/>
                <w:szCs w:val="22"/>
              </w:rPr>
            </w:pPr>
            <w:r w:rsidRPr="00F3057A">
              <w:rPr>
                <w:b/>
                <w:szCs w:val="22"/>
              </w:rPr>
              <w:t xml:space="preserve">No </w:t>
            </w:r>
          </w:p>
          <w:p w14:paraId="07DFDBAE" w14:textId="77777777" w:rsidR="002F5C5E" w:rsidRPr="009C1143" w:rsidRDefault="002F5C5E" w:rsidP="00AC4A99">
            <w:pPr>
              <w:rPr>
                <w:szCs w:val="22"/>
              </w:rPr>
            </w:pPr>
          </w:p>
          <w:p w14:paraId="31FB4E1F" w14:textId="77777777" w:rsidR="00F2517D" w:rsidRDefault="002F5C5E" w:rsidP="00AC4A99">
            <w:pPr>
              <w:rPr>
                <w:b/>
                <w:szCs w:val="22"/>
              </w:rPr>
            </w:pPr>
            <w:r w:rsidRPr="00F3057A">
              <w:rPr>
                <w:b/>
                <w:szCs w:val="22"/>
              </w:rPr>
              <w:t xml:space="preserve"> </w:t>
            </w:r>
          </w:p>
          <w:p w14:paraId="10F0BFAD" w14:textId="77777777" w:rsidR="002F5C5E" w:rsidRDefault="00F2517D" w:rsidP="00AC4A99">
            <w:pPr>
              <w:rPr>
                <w:b/>
                <w:szCs w:val="22"/>
              </w:rPr>
            </w:pPr>
            <w:r>
              <w:rPr>
                <w:b/>
                <w:szCs w:val="22"/>
              </w:rPr>
              <w:t>N</w:t>
            </w:r>
            <w:r w:rsidR="002F5C5E" w:rsidRPr="00F3057A">
              <w:rPr>
                <w:b/>
                <w:szCs w:val="22"/>
              </w:rPr>
              <w:t>o</w:t>
            </w:r>
          </w:p>
          <w:p w14:paraId="7EF5FD1A" w14:textId="77777777" w:rsidR="002F5C5E" w:rsidRPr="00F3057A" w:rsidRDefault="002F5C5E" w:rsidP="00AC4A99">
            <w:pPr>
              <w:rPr>
                <w:b/>
                <w:szCs w:val="22"/>
              </w:rPr>
            </w:pPr>
          </w:p>
          <w:p w14:paraId="3DFBC38F" w14:textId="77777777" w:rsidR="00F2517D" w:rsidRDefault="00F2517D" w:rsidP="00AC4A99">
            <w:pPr>
              <w:rPr>
                <w:b/>
                <w:szCs w:val="22"/>
              </w:rPr>
            </w:pPr>
          </w:p>
          <w:p w14:paraId="7E8A1B30" w14:textId="77777777" w:rsidR="002F5C5E" w:rsidRDefault="002F5C5E" w:rsidP="00AC4A99">
            <w:pPr>
              <w:rPr>
                <w:b/>
                <w:szCs w:val="22"/>
              </w:rPr>
            </w:pPr>
            <w:r w:rsidRPr="00F3057A">
              <w:rPr>
                <w:b/>
                <w:szCs w:val="22"/>
              </w:rPr>
              <w:t>No</w:t>
            </w:r>
          </w:p>
          <w:p w14:paraId="13420344" w14:textId="77777777" w:rsidR="00E50A9C" w:rsidRDefault="00E50A9C" w:rsidP="00AC4A99">
            <w:pPr>
              <w:rPr>
                <w:b/>
                <w:szCs w:val="22"/>
              </w:rPr>
            </w:pPr>
          </w:p>
          <w:p w14:paraId="668400DF" w14:textId="77777777" w:rsidR="00594D09" w:rsidRPr="009C1143" w:rsidRDefault="00E50A9C" w:rsidP="00F2517D">
            <w:pPr>
              <w:rPr>
                <w:szCs w:val="22"/>
              </w:rPr>
            </w:pPr>
            <w:r>
              <w:rPr>
                <w:b/>
                <w:szCs w:val="22"/>
              </w:rPr>
              <w:t>No</w:t>
            </w:r>
          </w:p>
        </w:tc>
      </w:tr>
    </w:tbl>
    <w:p w14:paraId="4E1F29AE" w14:textId="77777777" w:rsidR="002C71DE" w:rsidRDefault="002C71DE" w:rsidP="00594D09">
      <w:pPr>
        <w:keepNext/>
        <w:outlineLvl w:val="0"/>
        <w:rPr>
          <w:color w:val="000000"/>
          <w:szCs w:val="22"/>
        </w:rPr>
      </w:pPr>
    </w:p>
    <w:p w14:paraId="1C8EE2FC" w14:textId="77777777" w:rsidR="002C71DE" w:rsidRPr="00833F9E" w:rsidRDefault="002C71DE" w:rsidP="002C71DE">
      <w:pPr>
        <w:jc w:val="center"/>
        <w:rPr>
          <w:b/>
          <w:color w:val="5B9BD5" w:themeColor="accent1"/>
          <w:sz w:val="16"/>
          <w:szCs w:val="16"/>
        </w:rPr>
      </w:pPr>
    </w:p>
    <w:p w14:paraId="30A6B12B" w14:textId="77777777" w:rsidR="008C04DA" w:rsidRDefault="002F5C5E" w:rsidP="00594D09">
      <w:pPr>
        <w:keepNext/>
        <w:outlineLvl w:val="0"/>
        <w:rPr>
          <w:b/>
          <w:szCs w:val="22"/>
        </w:rPr>
      </w:pPr>
      <w:r w:rsidRPr="009C1143">
        <w:rPr>
          <w:b/>
          <w:szCs w:val="22"/>
        </w:rPr>
        <w:t xml:space="preserve">PURPOSE OF THE REPORT </w:t>
      </w:r>
    </w:p>
    <w:p w14:paraId="05E78D60" w14:textId="77777777" w:rsidR="007A0801" w:rsidRDefault="007A0801" w:rsidP="00594D09">
      <w:pPr>
        <w:keepNext/>
        <w:outlineLvl w:val="0"/>
        <w:rPr>
          <w:b/>
          <w:szCs w:val="22"/>
        </w:rPr>
      </w:pPr>
    </w:p>
    <w:p w14:paraId="1F274BAE" w14:textId="77777777" w:rsidR="002F5C5E" w:rsidRPr="00A6610D" w:rsidRDefault="00A6610D" w:rsidP="002C71DE">
      <w:pPr>
        <w:pStyle w:val="ListParagraph"/>
        <w:keepNext/>
        <w:numPr>
          <w:ilvl w:val="0"/>
          <w:numId w:val="8"/>
        </w:numPr>
        <w:outlineLvl w:val="0"/>
        <w:rPr>
          <w:rFonts w:ascii="Arial" w:hAnsi="Arial" w:cs="Arial"/>
        </w:rPr>
      </w:pPr>
      <w:r w:rsidRPr="00A6610D">
        <w:rPr>
          <w:rFonts w:ascii="Arial" w:hAnsi="Arial" w:cs="Arial"/>
        </w:rPr>
        <w:t xml:space="preserve">Cabinet are asked to approve the </w:t>
      </w:r>
      <w:r>
        <w:rPr>
          <w:rFonts w:ascii="Arial" w:hAnsi="Arial" w:cs="Arial"/>
        </w:rPr>
        <w:t xml:space="preserve">release of business rate growth funding prior to it being realised to support the funding of cross-county work on ‘Repositioning Lancashire: The Greater Lancashire Plan’. </w:t>
      </w:r>
    </w:p>
    <w:p w14:paraId="418F27B4" w14:textId="77777777" w:rsidR="002F5C5E" w:rsidRPr="009C1143" w:rsidRDefault="002F5C5E" w:rsidP="002F5C5E">
      <w:pPr>
        <w:rPr>
          <w:szCs w:val="22"/>
        </w:rPr>
      </w:pPr>
    </w:p>
    <w:p w14:paraId="2BF307E6" w14:textId="77777777" w:rsidR="002F5C5E" w:rsidRDefault="00491976" w:rsidP="002C71DE">
      <w:pPr>
        <w:keepNext/>
        <w:outlineLvl w:val="0"/>
        <w:rPr>
          <w:b/>
          <w:szCs w:val="22"/>
        </w:rPr>
      </w:pPr>
      <w:r>
        <w:rPr>
          <w:b/>
          <w:szCs w:val="22"/>
        </w:rPr>
        <w:t>PORTFOLIO</w:t>
      </w:r>
      <w:r w:rsidR="00A162DE">
        <w:rPr>
          <w:b/>
          <w:szCs w:val="22"/>
        </w:rPr>
        <w:t xml:space="preserve"> </w:t>
      </w:r>
      <w:r w:rsidR="002F5C5E" w:rsidRPr="009C1143">
        <w:rPr>
          <w:b/>
          <w:szCs w:val="22"/>
        </w:rPr>
        <w:t>RECOMMENDATIONS</w:t>
      </w:r>
    </w:p>
    <w:p w14:paraId="2582BE6D" w14:textId="77777777" w:rsidR="007A0801" w:rsidRDefault="007A0801" w:rsidP="007A0801">
      <w:pPr>
        <w:keepNext/>
        <w:ind w:left="567"/>
        <w:outlineLvl w:val="0"/>
        <w:rPr>
          <w:b/>
          <w:szCs w:val="22"/>
        </w:rPr>
      </w:pPr>
    </w:p>
    <w:p w14:paraId="23D01418" w14:textId="77777777" w:rsidR="002F5C5E" w:rsidRPr="00152E2E" w:rsidRDefault="00152E2E" w:rsidP="001817F6">
      <w:pPr>
        <w:pStyle w:val="ListParagraph"/>
        <w:keepNext/>
        <w:numPr>
          <w:ilvl w:val="0"/>
          <w:numId w:val="8"/>
        </w:numPr>
        <w:outlineLvl w:val="0"/>
        <w:rPr>
          <w:rFonts w:ascii="Arial" w:hAnsi="Arial" w:cs="Arial"/>
        </w:rPr>
      </w:pPr>
      <w:r w:rsidRPr="00152E2E">
        <w:rPr>
          <w:rFonts w:ascii="Arial" w:hAnsi="Arial" w:cs="Arial"/>
        </w:rPr>
        <w:t>That Cabinet approve a contribution of £36,012 to the Strategic Economic Growth and Financial Sustainability Fund, being South Ribble’s share of the £400,000 bid to fund work on the Greater Lancashire Plan. This is subject to all Lancashire councils who are in the business rate pool</w:t>
      </w:r>
      <w:r w:rsidR="00A6610D">
        <w:rPr>
          <w:rFonts w:ascii="Arial" w:hAnsi="Arial" w:cs="Arial"/>
        </w:rPr>
        <w:t xml:space="preserve"> committing to fund their share of the total cost of the work</w:t>
      </w:r>
      <w:r w:rsidRPr="00152E2E">
        <w:rPr>
          <w:rFonts w:ascii="Arial" w:hAnsi="Arial" w:cs="Arial"/>
        </w:rPr>
        <w:t>.</w:t>
      </w:r>
    </w:p>
    <w:p w14:paraId="009FB4EA" w14:textId="77777777" w:rsidR="00BD2AFE" w:rsidRPr="002C71DE" w:rsidRDefault="00CC4337" w:rsidP="002C71DE">
      <w:pPr>
        <w:rPr>
          <w:b/>
          <w:color w:val="000000"/>
          <w:szCs w:val="22"/>
        </w:rPr>
      </w:pPr>
      <w:r w:rsidRPr="002C71DE">
        <w:rPr>
          <w:b/>
          <w:color w:val="000000"/>
          <w:szCs w:val="22"/>
        </w:rPr>
        <w:t>REASONS FOR THE DECISION</w:t>
      </w:r>
    </w:p>
    <w:p w14:paraId="09EC2078" w14:textId="77777777" w:rsidR="007A0801" w:rsidRPr="00970C70" w:rsidRDefault="007A0801" w:rsidP="007A0801">
      <w:pPr>
        <w:ind w:left="567"/>
        <w:rPr>
          <w:b/>
          <w:i/>
          <w:color w:val="2E74B5" w:themeColor="accent1" w:themeShade="BF"/>
          <w:szCs w:val="22"/>
        </w:rPr>
      </w:pPr>
    </w:p>
    <w:p w14:paraId="42A65C8F" w14:textId="77777777" w:rsidR="002F5C5E" w:rsidRDefault="00A6610D" w:rsidP="00F87F78">
      <w:pPr>
        <w:pStyle w:val="ListParagraph"/>
        <w:numPr>
          <w:ilvl w:val="0"/>
          <w:numId w:val="8"/>
        </w:numPr>
        <w:spacing w:after="0"/>
        <w:rPr>
          <w:rFonts w:ascii="Arial" w:hAnsi="Arial" w:cs="Arial"/>
        </w:rPr>
      </w:pPr>
      <w:r w:rsidRPr="00F87F78">
        <w:rPr>
          <w:rFonts w:ascii="Arial" w:hAnsi="Arial" w:cs="Arial"/>
        </w:rPr>
        <w:t xml:space="preserve">The </w:t>
      </w:r>
      <w:r w:rsidR="00F87F78" w:rsidRPr="00F87F78">
        <w:rPr>
          <w:rFonts w:ascii="Arial" w:hAnsi="Arial" w:cs="Arial"/>
        </w:rPr>
        <w:t>Lancashire BR Pool Executive Body have explored how £400k could be released from the Strategic Economic Growth and Financial Sustainability</w:t>
      </w:r>
      <w:r w:rsidR="00F87F78" w:rsidRPr="00F87F78">
        <w:rPr>
          <w:rFonts w:ascii="Arial" w:hAnsi="Arial" w:cs="Arial"/>
          <w:i/>
        </w:rPr>
        <w:t xml:space="preserve"> </w:t>
      </w:r>
      <w:r w:rsidR="00F87F78" w:rsidRPr="00F87F78">
        <w:rPr>
          <w:rFonts w:ascii="Arial" w:hAnsi="Arial" w:cs="Arial"/>
        </w:rPr>
        <w:t xml:space="preserve">Fund (SEGFSF) in this financial year to fund work on the Greater Lancashire Plan, as requested by the </w:t>
      </w:r>
      <w:r w:rsidRPr="00F87F78">
        <w:rPr>
          <w:rFonts w:ascii="Arial" w:hAnsi="Arial" w:cs="Arial"/>
        </w:rPr>
        <w:t xml:space="preserve">Governing Body of the Lancashire Business Rate </w:t>
      </w:r>
      <w:r w:rsidR="004F53F3" w:rsidRPr="00F87F78">
        <w:rPr>
          <w:rFonts w:ascii="Arial" w:hAnsi="Arial" w:cs="Arial"/>
        </w:rPr>
        <w:t>P</w:t>
      </w:r>
      <w:r w:rsidRPr="00F87F78">
        <w:rPr>
          <w:rFonts w:ascii="Arial" w:hAnsi="Arial" w:cs="Arial"/>
        </w:rPr>
        <w:t xml:space="preserve">ilot </w:t>
      </w:r>
      <w:r w:rsidR="004F53F3" w:rsidRPr="00F87F78">
        <w:rPr>
          <w:rFonts w:ascii="Arial" w:hAnsi="Arial" w:cs="Arial"/>
        </w:rPr>
        <w:t>P</w:t>
      </w:r>
      <w:r w:rsidRPr="00F87F78">
        <w:rPr>
          <w:rFonts w:ascii="Arial" w:hAnsi="Arial" w:cs="Arial"/>
        </w:rPr>
        <w:t>ool</w:t>
      </w:r>
      <w:r w:rsidR="00F87F78" w:rsidRPr="00F87F78">
        <w:rPr>
          <w:rFonts w:ascii="Arial" w:hAnsi="Arial" w:cs="Arial"/>
        </w:rPr>
        <w:t xml:space="preserve">. The proposal is </w:t>
      </w:r>
      <w:r w:rsidRPr="00F87F78">
        <w:rPr>
          <w:rFonts w:ascii="Arial" w:hAnsi="Arial" w:cs="Arial"/>
        </w:rPr>
        <w:t xml:space="preserve">that each authority </w:t>
      </w:r>
      <w:r w:rsidR="004F53F3" w:rsidRPr="00F87F78">
        <w:rPr>
          <w:rFonts w:ascii="Arial" w:hAnsi="Arial" w:cs="Arial"/>
        </w:rPr>
        <w:t>provide a financial allocation towards the £400,000 in proportion to their total anticipated contribution to the Strategic Economic Growth and Financial Sustainability Fund</w:t>
      </w:r>
      <w:r w:rsidR="00F87F78" w:rsidRPr="00F87F78">
        <w:rPr>
          <w:rFonts w:ascii="Arial" w:hAnsi="Arial" w:cs="Arial"/>
        </w:rPr>
        <w:t xml:space="preserve">. </w:t>
      </w:r>
    </w:p>
    <w:p w14:paraId="0339AB70" w14:textId="77777777" w:rsidR="00F87F78" w:rsidRPr="00F87F78" w:rsidRDefault="00F87F78" w:rsidP="00F87F78">
      <w:pPr>
        <w:ind w:left="720"/>
        <w:rPr>
          <w:rFonts w:cs="Arial"/>
        </w:rPr>
      </w:pPr>
    </w:p>
    <w:p w14:paraId="56729C70" w14:textId="77777777" w:rsidR="00F87F78" w:rsidRPr="00F87F78" w:rsidRDefault="00F87F78" w:rsidP="00F87F78">
      <w:pPr>
        <w:pStyle w:val="ListParagraph"/>
        <w:numPr>
          <w:ilvl w:val="0"/>
          <w:numId w:val="8"/>
        </w:numPr>
        <w:spacing w:after="0"/>
        <w:rPr>
          <w:rFonts w:ascii="Arial" w:hAnsi="Arial" w:cs="Arial"/>
        </w:rPr>
      </w:pPr>
      <w:r>
        <w:rPr>
          <w:rFonts w:ascii="Arial" w:hAnsi="Arial" w:cs="Arial"/>
        </w:rPr>
        <w:t>This advance funding can be met from the council’s business rate retention reserve</w:t>
      </w:r>
      <w:r w:rsidR="00A57221">
        <w:rPr>
          <w:rFonts w:ascii="Arial" w:hAnsi="Arial" w:cs="Arial"/>
        </w:rPr>
        <w:t>. At the end of the financial year, when the actual outturn for business rates income is known, an adjustment can be made in relation to this payment.</w:t>
      </w:r>
    </w:p>
    <w:p w14:paraId="05E849BD" w14:textId="77777777" w:rsidR="00A57221" w:rsidRDefault="00A57221" w:rsidP="002C71DE">
      <w:pPr>
        <w:keepNext/>
        <w:outlineLvl w:val="0"/>
        <w:rPr>
          <w:b/>
          <w:szCs w:val="22"/>
        </w:rPr>
      </w:pPr>
    </w:p>
    <w:p w14:paraId="3B6181FF" w14:textId="77777777" w:rsidR="008C04DA" w:rsidRDefault="008C04DA" w:rsidP="002C71DE">
      <w:pPr>
        <w:keepNext/>
        <w:outlineLvl w:val="0"/>
        <w:rPr>
          <w:b/>
          <w:szCs w:val="22"/>
        </w:rPr>
      </w:pPr>
      <w:r w:rsidRPr="008C04DA">
        <w:rPr>
          <w:b/>
          <w:szCs w:val="22"/>
        </w:rPr>
        <w:t>CORPORATE PRIORITIES</w:t>
      </w:r>
    </w:p>
    <w:p w14:paraId="26C4DF2B" w14:textId="77777777" w:rsidR="00911FD5" w:rsidRPr="00FE68AA" w:rsidRDefault="00911FD5" w:rsidP="00911FD5">
      <w:pPr>
        <w:keepNext/>
        <w:ind w:left="567"/>
        <w:outlineLvl w:val="0"/>
        <w:rPr>
          <w:rFonts w:cs="Arial"/>
          <w:b/>
          <w:szCs w:val="22"/>
        </w:rPr>
      </w:pPr>
    </w:p>
    <w:p w14:paraId="69B22BB1" w14:textId="77777777" w:rsidR="008C04DA" w:rsidRPr="00FE68AA" w:rsidRDefault="008C04DA" w:rsidP="00226E4E">
      <w:pPr>
        <w:pStyle w:val="ListParagraph"/>
        <w:keepNext/>
        <w:numPr>
          <w:ilvl w:val="0"/>
          <w:numId w:val="8"/>
        </w:numPr>
        <w:outlineLvl w:val="0"/>
        <w:rPr>
          <w:rFonts w:ascii="Arial" w:hAnsi="Arial" w:cs="Arial"/>
        </w:rPr>
      </w:pPr>
      <w:r w:rsidRPr="00FE68AA">
        <w:rPr>
          <w:rFonts w:ascii="Arial" w:hAnsi="Arial" w:cs="Arial"/>
        </w:rPr>
        <w:t>The report relates to the following corporate priorities</w:t>
      </w:r>
      <w:r w:rsidR="00970C70" w:rsidRPr="00FE68AA">
        <w:rPr>
          <w:rFonts w:ascii="Arial" w:hAnsi="Arial" w:cs="Arial"/>
        </w:rPr>
        <w:t>:</w:t>
      </w:r>
      <w:r w:rsidRPr="00FE68AA">
        <w:rPr>
          <w:rFonts w:ascii="Arial" w:hAnsi="Arial" w:cs="Arial"/>
          <w:b/>
        </w:rPr>
        <w:t xml:space="preserve"> </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3EB45BC4" w14:textId="77777777" w:rsidTr="000E5A3B">
        <w:tc>
          <w:tcPr>
            <w:tcW w:w="4423" w:type="dxa"/>
            <w:shd w:val="clear" w:color="auto" w:fill="auto"/>
          </w:tcPr>
          <w:p w14:paraId="7343128B" w14:textId="77777777" w:rsidR="000E5A3B" w:rsidRPr="000828CC" w:rsidRDefault="000E5A3B" w:rsidP="00A975A7">
            <w:pPr>
              <w:rPr>
                <w:szCs w:val="22"/>
              </w:rPr>
            </w:pPr>
            <w:r w:rsidRPr="000828CC">
              <w:rPr>
                <w:szCs w:val="22"/>
              </w:rPr>
              <w:t>Excellence and Financial Sustainability</w:t>
            </w:r>
          </w:p>
          <w:p w14:paraId="6F2B5841" w14:textId="77777777" w:rsidR="000E5A3B" w:rsidRPr="000828CC" w:rsidRDefault="000E5A3B" w:rsidP="00A975A7">
            <w:pPr>
              <w:rPr>
                <w:szCs w:val="22"/>
              </w:rPr>
            </w:pPr>
          </w:p>
        </w:tc>
        <w:tc>
          <w:tcPr>
            <w:tcW w:w="850" w:type="dxa"/>
            <w:shd w:val="clear" w:color="auto" w:fill="auto"/>
          </w:tcPr>
          <w:p w14:paraId="6CE595E5" w14:textId="77777777" w:rsidR="000E5A3B" w:rsidRPr="00D50F06" w:rsidRDefault="00A57221" w:rsidP="00A975A7">
            <w:pPr>
              <w:rPr>
                <w:sz w:val="24"/>
                <w:szCs w:val="24"/>
                <w:highlight w:val="yellow"/>
              </w:rPr>
            </w:pPr>
            <w:r>
              <w:rPr>
                <w:szCs w:val="22"/>
              </w:rPr>
              <w:t xml:space="preserve"> </w:t>
            </w:r>
            <w:r w:rsidRPr="00D50F06">
              <w:rPr>
                <w:sz w:val="24"/>
                <w:szCs w:val="24"/>
              </w:rPr>
              <w:sym w:font="Wingdings 2" w:char="F050"/>
            </w:r>
          </w:p>
        </w:tc>
      </w:tr>
      <w:tr w:rsidR="000E5A3B" w:rsidRPr="008770BE" w14:paraId="145A94ED" w14:textId="77777777" w:rsidTr="000E5A3B">
        <w:tc>
          <w:tcPr>
            <w:tcW w:w="4423" w:type="dxa"/>
            <w:shd w:val="clear" w:color="auto" w:fill="auto"/>
          </w:tcPr>
          <w:p w14:paraId="2831457F" w14:textId="77777777" w:rsidR="000E5A3B" w:rsidRPr="000828CC" w:rsidRDefault="000E5A3B" w:rsidP="00A975A7">
            <w:pPr>
              <w:rPr>
                <w:szCs w:val="22"/>
              </w:rPr>
            </w:pPr>
            <w:r w:rsidRPr="000828CC">
              <w:rPr>
                <w:szCs w:val="22"/>
              </w:rPr>
              <w:t>Health and Wellbeing</w:t>
            </w:r>
          </w:p>
          <w:p w14:paraId="0543E412" w14:textId="77777777" w:rsidR="000E5A3B" w:rsidRPr="000828CC" w:rsidRDefault="000E5A3B" w:rsidP="00A975A7">
            <w:pPr>
              <w:rPr>
                <w:szCs w:val="22"/>
              </w:rPr>
            </w:pPr>
          </w:p>
        </w:tc>
        <w:tc>
          <w:tcPr>
            <w:tcW w:w="850" w:type="dxa"/>
            <w:shd w:val="clear" w:color="auto" w:fill="auto"/>
          </w:tcPr>
          <w:p w14:paraId="18912C3B" w14:textId="77777777" w:rsidR="000E5A3B" w:rsidRPr="008770BE" w:rsidRDefault="000E5A3B" w:rsidP="00A975A7">
            <w:pPr>
              <w:rPr>
                <w:szCs w:val="22"/>
                <w:highlight w:val="yellow"/>
              </w:rPr>
            </w:pPr>
          </w:p>
        </w:tc>
      </w:tr>
      <w:tr w:rsidR="000E5A3B" w:rsidRPr="009C1143" w14:paraId="2BA183ED" w14:textId="77777777" w:rsidTr="000E5A3B">
        <w:tc>
          <w:tcPr>
            <w:tcW w:w="4423" w:type="dxa"/>
            <w:shd w:val="clear" w:color="auto" w:fill="auto"/>
          </w:tcPr>
          <w:p w14:paraId="720FF221" w14:textId="77777777" w:rsidR="000E5A3B" w:rsidRPr="000828CC" w:rsidRDefault="000E5A3B" w:rsidP="00A975A7">
            <w:pPr>
              <w:rPr>
                <w:szCs w:val="22"/>
              </w:rPr>
            </w:pPr>
            <w:r w:rsidRPr="000828CC">
              <w:rPr>
                <w:szCs w:val="22"/>
              </w:rPr>
              <w:t>Place</w:t>
            </w:r>
          </w:p>
          <w:p w14:paraId="68C8D85E" w14:textId="77777777" w:rsidR="000E5A3B" w:rsidRPr="000828CC" w:rsidRDefault="000E5A3B" w:rsidP="00A975A7">
            <w:pPr>
              <w:rPr>
                <w:szCs w:val="22"/>
              </w:rPr>
            </w:pPr>
          </w:p>
        </w:tc>
        <w:tc>
          <w:tcPr>
            <w:tcW w:w="850" w:type="dxa"/>
            <w:shd w:val="clear" w:color="auto" w:fill="auto"/>
          </w:tcPr>
          <w:p w14:paraId="7C217C11" w14:textId="77777777" w:rsidR="000E5A3B" w:rsidRPr="009C1143" w:rsidRDefault="00D50F06" w:rsidP="00A975A7">
            <w:pPr>
              <w:rPr>
                <w:szCs w:val="22"/>
              </w:rPr>
            </w:pPr>
            <w:r>
              <w:rPr>
                <w:szCs w:val="22"/>
              </w:rPr>
              <w:sym w:font="Wingdings 2" w:char="F050"/>
            </w:r>
          </w:p>
        </w:tc>
      </w:tr>
    </w:tbl>
    <w:p w14:paraId="6E4ED65D" w14:textId="77777777" w:rsidR="002D4745" w:rsidRDefault="002D4745"/>
    <w:p w14:paraId="6182A19F" w14:textId="77777777" w:rsidR="002D4745" w:rsidRDefault="002D4745" w:rsidP="002D4745">
      <w:pPr>
        <w:ind w:firstLine="720"/>
      </w:pPr>
      <w:r>
        <w:t>Projects relating to People in the Corporate Plan:</w:t>
      </w:r>
    </w:p>
    <w:p w14:paraId="6B7F4A11"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14:paraId="59F8372F" w14:textId="77777777" w:rsidTr="000E5A3B">
        <w:tc>
          <w:tcPr>
            <w:tcW w:w="4423" w:type="dxa"/>
            <w:shd w:val="clear" w:color="auto" w:fill="auto"/>
          </w:tcPr>
          <w:p w14:paraId="0D49714E" w14:textId="77777777" w:rsidR="002D4745" w:rsidRDefault="002D4745" w:rsidP="00A975A7">
            <w:pPr>
              <w:rPr>
                <w:szCs w:val="22"/>
              </w:rPr>
            </w:pPr>
            <w:r>
              <w:rPr>
                <w:szCs w:val="22"/>
              </w:rPr>
              <w:t xml:space="preserve">People </w:t>
            </w:r>
          </w:p>
          <w:p w14:paraId="558C6C04" w14:textId="77777777" w:rsidR="002D4745" w:rsidRPr="000828CC" w:rsidRDefault="002D4745" w:rsidP="00A975A7">
            <w:pPr>
              <w:rPr>
                <w:szCs w:val="22"/>
              </w:rPr>
            </w:pPr>
          </w:p>
        </w:tc>
        <w:tc>
          <w:tcPr>
            <w:tcW w:w="850" w:type="dxa"/>
            <w:shd w:val="clear" w:color="auto" w:fill="auto"/>
          </w:tcPr>
          <w:p w14:paraId="0718B584" w14:textId="77777777" w:rsidR="002D4745" w:rsidRPr="009C1143" w:rsidRDefault="002D4745" w:rsidP="00A975A7">
            <w:pPr>
              <w:rPr>
                <w:szCs w:val="22"/>
              </w:rPr>
            </w:pPr>
          </w:p>
        </w:tc>
      </w:tr>
    </w:tbl>
    <w:p w14:paraId="2269E2B0" w14:textId="77777777" w:rsidR="008C04DA" w:rsidRPr="008C04DA" w:rsidRDefault="008C04DA" w:rsidP="008C04DA">
      <w:pPr>
        <w:keepNext/>
        <w:ind w:left="360"/>
        <w:outlineLvl w:val="0"/>
        <w:rPr>
          <w:szCs w:val="22"/>
        </w:rPr>
      </w:pPr>
    </w:p>
    <w:p w14:paraId="532A40E5" w14:textId="77777777" w:rsidR="0065176C" w:rsidRDefault="002F5C5E" w:rsidP="002C71DE">
      <w:pPr>
        <w:keepNext/>
        <w:outlineLvl w:val="0"/>
        <w:rPr>
          <w:b/>
          <w:szCs w:val="22"/>
        </w:rPr>
      </w:pPr>
      <w:r w:rsidRPr="008C04DA">
        <w:rPr>
          <w:b/>
          <w:szCs w:val="22"/>
        </w:rPr>
        <w:t>BACKGROUND TO THE REPORT</w:t>
      </w:r>
    </w:p>
    <w:p w14:paraId="17086B8F" w14:textId="77777777" w:rsidR="00EF3B6C" w:rsidRDefault="00EF3B6C" w:rsidP="00EF3B6C">
      <w:pPr>
        <w:keepNext/>
        <w:ind w:left="567"/>
        <w:outlineLvl w:val="0"/>
        <w:rPr>
          <w:b/>
          <w:szCs w:val="22"/>
        </w:rPr>
      </w:pPr>
    </w:p>
    <w:p w14:paraId="391302AC" w14:textId="77777777" w:rsidR="00D15247" w:rsidRPr="006C5B1A" w:rsidRDefault="00D544E1" w:rsidP="006C5B1A">
      <w:pPr>
        <w:pStyle w:val="ListParagraph"/>
        <w:keepNext/>
        <w:numPr>
          <w:ilvl w:val="0"/>
          <w:numId w:val="8"/>
        </w:numPr>
        <w:spacing w:after="0"/>
        <w:outlineLvl w:val="0"/>
        <w:rPr>
          <w:rFonts w:ascii="Arial" w:hAnsi="Arial" w:cs="Arial"/>
          <w:b/>
        </w:rPr>
      </w:pPr>
      <w:r w:rsidRPr="006C5B1A">
        <w:rPr>
          <w:rFonts w:ascii="Arial" w:hAnsi="Arial" w:cs="Arial"/>
        </w:rPr>
        <w:t>The Lancashire Business Rates Pool was formed in 2016/17</w:t>
      </w:r>
      <w:r w:rsidR="00D15247" w:rsidRPr="006C5B1A">
        <w:rPr>
          <w:rFonts w:ascii="Arial" w:hAnsi="Arial" w:cs="Arial"/>
        </w:rPr>
        <w:t xml:space="preserve">. The benefit of the business rates pool is that the pool is treated as a single body for the purposes of the rate retention scheme, hence the Government calculates only one overall amount in respect of safety net or levy payments. In essence this means that members of the Lancashire Pool are not required to pay a levy to central government, instead this is retained by each member. </w:t>
      </w:r>
    </w:p>
    <w:p w14:paraId="295A6364" w14:textId="77777777" w:rsidR="00D67DF6" w:rsidRPr="006C5B1A" w:rsidRDefault="00D67DF6" w:rsidP="006C5B1A">
      <w:pPr>
        <w:keepNext/>
        <w:ind w:left="720"/>
        <w:outlineLvl w:val="0"/>
        <w:rPr>
          <w:rFonts w:cs="Arial"/>
          <w:b/>
        </w:rPr>
      </w:pPr>
    </w:p>
    <w:p w14:paraId="0BA3C42E" w14:textId="77777777" w:rsidR="008C04DA" w:rsidRPr="006C5B1A" w:rsidRDefault="00F85861" w:rsidP="006C5B1A">
      <w:pPr>
        <w:pStyle w:val="ListParagraph"/>
        <w:keepNext/>
        <w:numPr>
          <w:ilvl w:val="0"/>
          <w:numId w:val="8"/>
        </w:numPr>
        <w:spacing w:after="0"/>
        <w:outlineLvl w:val="0"/>
        <w:rPr>
          <w:rFonts w:ascii="Arial" w:hAnsi="Arial" w:cs="Arial"/>
          <w:b/>
        </w:rPr>
      </w:pPr>
      <w:r w:rsidRPr="006C5B1A">
        <w:rPr>
          <w:rFonts w:ascii="Arial" w:hAnsi="Arial" w:cs="Arial"/>
        </w:rPr>
        <w:t>During 2018/19 the Government invited pools of authorities to pilot 75% rates retention in 2019/20. South Ribble Council approved the council’s participation in a Lancashire pool pilot bid which was subsequently successful.</w:t>
      </w:r>
      <w:r w:rsidR="00D220DA" w:rsidRPr="006C5B1A">
        <w:rPr>
          <w:rFonts w:ascii="Arial" w:hAnsi="Arial" w:cs="Arial"/>
        </w:rPr>
        <w:t xml:space="preserve"> Participation in the 75% pilot is financially advantageous for each pool member where they experience growth above their baseline funding level as they benefit from retaining a bigger share of that growth.</w:t>
      </w:r>
    </w:p>
    <w:p w14:paraId="24A9CBD0" w14:textId="77777777" w:rsidR="00EE4185" w:rsidRPr="006C5B1A" w:rsidRDefault="00EE4185" w:rsidP="006C5B1A">
      <w:pPr>
        <w:pStyle w:val="ListParagraph"/>
        <w:spacing w:after="0"/>
        <w:rPr>
          <w:rFonts w:ascii="Arial" w:hAnsi="Arial" w:cs="Arial"/>
        </w:rPr>
      </w:pPr>
    </w:p>
    <w:p w14:paraId="20FCBFC2" w14:textId="77777777" w:rsidR="00EE4185" w:rsidRPr="006C5B1A" w:rsidRDefault="00EE4185" w:rsidP="006C5B1A">
      <w:pPr>
        <w:pStyle w:val="ListParagraph"/>
        <w:keepNext/>
        <w:numPr>
          <w:ilvl w:val="0"/>
          <w:numId w:val="8"/>
        </w:numPr>
        <w:spacing w:after="0"/>
        <w:outlineLvl w:val="0"/>
        <w:rPr>
          <w:rFonts w:ascii="Arial" w:hAnsi="Arial" w:cs="Arial"/>
        </w:rPr>
      </w:pPr>
      <w:r w:rsidRPr="006C5B1A">
        <w:rPr>
          <w:rFonts w:ascii="Arial" w:hAnsi="Arial" w:cs="Arial"/>
        </w:rPr>
        <w:t>With regard to the governance arrangements for the Lancashire Business Rates Pilot Pool</w:t>
      </w:r>
      <w:r w:rsidR="006C5B1A">
        <w:rPr>
          <w:rFonts w:ascii="Arial" w:hAnsi="Arial" w:cs="Arial"/>
        </w:rPr>
        <w:t>:</w:t>
      </w:r>
      <w:r w:rsidRPr="006C5B1A">
        <w:rPr>
          <w:rFonts w:ascii="Arial" w:hAnsi="Arial" w:cs="Arial"/>
        </w:rPr>
        <w:t xml:space="preserve"> it is administered by Ribble Valley</w:t>
      </w:r>
      <w:r w:rsidR="00DD6D8A">
        <w:rPr>
          <w:rFonts w:ascii="Arial" w:hAnsi="Arial" w:cs="Arial"/>
        </w:rPr>
        <w:t xml:space="preserve"> who are the Lead Authority</w:t>
      </w:r>
      <w:r w:rsidR="006C5B1A">
        <w:rPr>
          <w:rFonts w:ascii="Arial" w:hAnsi="Arial" w:cs="Arial"/>
        </w:rPr>
        <w:t>;</w:t>
      </w:r>
      <w:r w:rsidRPr="006C5B1A">
        <w:rPr>
          <w:rFonts w:ascii="Arial" w:hAnsi="Arial" w:cs="Arial"/>
        </w:rPr>
        <w:t xml:space="preserve"> has a Governing Body comprising of the Leaders of each local authority who belong to the pool</w:t>
      </w:r>
      <w:r w:rsidR="006C5B1A">
        <w:rPr>
          <w:rFonts w:ascii="Arial" w:hAnsi="Arial" w:cs="Arial"/>
        </w:rPr>
        <w:t>;</w:t>
      </w:r>
      <w:r w:rsidRPr="006C5B1A">
        <w:rPr>
          <w:rFonts w:ascii="Arial" w:hAnsi="Arial" w:cs="Arial"/>
        </w:rPr>
        <w:t xml:space="preserve"> and an Executive Body </w:t>
      </w:r>
      <w:r w:rsidR="006C5B1A" w:rsidRPr="006C5B1A">
        <w:rPr>
          <w:rFonts w:ascii="Arial" w:hAnsi="Arial" w:cs="Arial"/>
        </w:rPr>
        <w:t>which consists of the S151</w:t>
      </w:r>
      <w:r w:rsidRPr="006C5B1A">
        <w:rPr>
          <w:rFonts w:ascii="Arial" w:hAnsi="Arial" w:cs="Arial"/>
        </w:rPr>
        <w:t xml:space="preserve"> </w:t>
      </w:r>
      <w:r w:rsidR="006C5B1A" w:rsidRPr="006C5B1A">
        <w:rPr>
          <w:rFonts w:ascii="Arial" w:hAnsi="Arial" w:cs="Arial"/>
        </w:rPr>
        <w:t>Officers of the pool members.</w:t>
      </w:r>
      <w:r w:rsidR="00354079">
        <w:rPr>
          <w:rFonts w:ascii="Arial" w:hAnsi="Arial" w:cs="Arial"/>
        </w:rPr>
        <w:t xml:space="preserve"> The Executive Body make recommendations, when required, on operational matters to the Governing Body.  </w:t>
      </w:r>
      <w:r w:rsidR="006C5B1A" w:rsidRPr="006C5B1A">
        <w:rPr>
          <w:rFonts w:ascii="Arial" w:hAnsi="Arial" w:cs="Arial"/>
        </w:rPr>
        <w:t xml:space="preserve"> </w:t>
      </w:r>
      <w:r w:rsidRPr="006C5B1A">
        <w:rPr>
          <w:rFonts w:ascii="Arial" w:hAnsi="Arial" w:cs="Arial"/>
        </w:rPr>
        <w:t xml:space="preserve">  </w:t>
      </w:r>
    </w:p>
    <w:p w14:paraId="1B553D1C" w14:textId="77777777" w:rsidR="006C5B1A" w:rsidRPr="006C5B1A" w:rsidRDefault="006C5B1A" w:rsidP="006C5B1A">
      <w:pPr>
        <w:keepNext/>
        <w:ind w:left="720"/>
        <w:outlineLvl w:val="0"/>
        <w:rPr>
          <w:rFonts w:cs="Arial"/>
        </w:rPr>
      </w:pPr>
    </w:p>
    <w:p w14:paraId="30162786" w14:textId="77777777" w:rsidR="006C5B1A" w:rsidRDefault="006C5B1A" w:rsidP="006C5B1A">
      <w:pPr>
        <w:pStyle w:val="ListParagraph"/>
        <w:keepNext/>
        <w:numPr>
          <w:ilvl w:val="0"/>
          <w:numId w:val="8"/>
        </w:numPr>
        <w:spacing w:after="0"/>
        <w:outlineLvl w:val="0"/>
        <w:rPr>
          <w:rFonts w:ascii="Arial" w:hAnsi="Arial" w:cs="Arial"/>
        </w:rPr>
      </w:pPr>
      <w:r w:rsidRPr="006C5B1A">
        <w:rPr>
          <w:rFonts w:ascii="Arial" w:hAnsi="Arial" w:cs="Arial"/>
        </w:rPr>
        <w:t xml:space="preserve">The Lancashire Business Rates Pilot pool members signed a memorandum of understanding in which each pool member agreed that, at the end of the financial year, they would set aside 25% of their additional growth in a Lancashire wide fund to be used to target strategic economic growth and improve financial </w:t>
      </w:r>
      <w:r w:rsidR="00745F13">
        <w:rPr>
          <w:rFonts w:ascii="Arial" w:hAnsi="Arial" w:cs="Arial"/>
        </w:rPr>
        <w:t xml:space="preserve">resilience and </w:t>
      </w:r>
      <w:r w:rsidRPr="006C5B1A">
        <w:rPr>
          <w:rFonts w:ascii="Arial" w:hAnsi="Arial" w:cs="Arial"/>
        </w:rPr>
        <w:t xml:space="preserve">sustainability. </w:t>
      </w:r>
      <w:r>
        <w:rPr>
          <w:rFonts w:ascii="Arial" w:hAnsi="Arial" w:cs="Arial"/>
        </w:rPr>
        <w:t xml:space="preserve">The </w:t>
      </w:r>
      <w:r w:rsidR="00ED68EE">
        <w:rPr>
          <w:rFonts w:ascii="Arial" w:hAnsi="Arial" w:cs="Arial"/>
        </w:rPr>
        <w:t>Go</w:t>
      </w:r>
      <w:r>
        <w:rPr>
          <w:rFonts w:ascii="Arial" w:hAnsi="Arial" w:cs="Arial"/>
        </w:rPr>
        <w:t xml:space="preserve">verning Body make decisions regarding how the </w:t>
      </w:r>
      <w:r w:rsidR="00745F13">
        <w:rPr>
          <w:rFonts w:ascii="Arial" w:hAnsi="Arial" w:cs="Arial"/>
        </w:rPr>
        <w:t>S</w:t>
      </w:r>
      <w:r>
        <w:rPr>
          <w:rFonts w:ascii="Arial" w:hAnsi="Arial" w:cs="Arial"/>
        </w:rPr>
        <w:t xml:space="preserve">trategic </w:t>
      </w:r>
      <w:r w:rsidR="00745F13">
        <w:rPr>
          <w:rFonts w:ascii="Arial" w:hAnsi="Arial" w:cs="Arial"/>
        </w:rPr>
        <w:t>Economic G</w:t>
      </w:r>
      <w:r>
        <w:rPr>
          <w:rFonts w:ascii="Arial" w:hAnsi="Arial" w:cs="Arial"/>
        </w:rPr>
        <w:t xml:space="preserve">rowth and </w:t>
      </w:r>
      <w:r w:rsidR="00745F13">
        <w:rPr>
          <w:rFonts w:ascii="Arial" w:hAnsi="Arial" w:cs="Arial"/>
        </w:rPr>
        <w:t>Financial Sustainability F</w:t>
      </w:r>
      <w:r>
        <w:rPr>
          <w:rFonts w:ascii="Arial" w:hAnsi="Arial" w:cs="Arial"/>
        </w:rPr>
        <w:t xml:space="preserve">und will be allocated. </w:t>
      </w:r>
      <w:r w:rsidRPr="006C5B1A">
        <w:rPr>
          <w:rFonts w:ascii="Arial" w:hAnsi="Arial" w:cs="Arial"/>
        </w:rPr>
        <w:t xml:space="preserve">   </w:t>
      </w:r>
    </w:p>
    <w:p w14:paraId="5CF71D0A" w14:textId="77777777" w:rsidR="008C04DA" w:rsidRPr="008C04DA" w:rsidRDefault="008C04DA" w:rsidP="008C04DA">
      <w:pPr>
        <w:keepNext/>
        <w:ind w:left="360"/>
        <w:outlineLvl w:val="0"/>
        <w:rPr>
          <w:szCs w:val="22"/>
        </w:rPr>
      </w:pPr>
    </w:p>
    <w:p w14:paraId="0F21EEEA" w14:textId="77777777" w:rsidR="008C04DA" w:rsidRDefault="0037228A" w:rsidP="002C71DE">
      <w:pPr>
        <w:keepNext/>
        <w:outlineLvl w:val="0"/>
        <w:rPr>
          <w:b/>
          <w:szCs w:val="22"/>
        </w:rPr>
      </w:pPr>
      <w:r w:rsidRPr="008C04DA">
        <w:rPr>
          <w:b/>
          <w:szCs w:val="22"/>
        </w:rPr>
        <w:t xml:space="preserve">PROPOSALS </w:t>
      </w:r>
    </w:p>
    <w:p w14:paraId="23D7382A" w14:textId="77777777" w:rsidR="00EF3B6C" w:rsidRDefault="00EF3B6C" w:rsidP="00EF3B6C">
      <w:pPr>
        <w:keepNext/>
        <w:ind w:left="567"/>
        <w:outlineLvl w:val="0"/>
        <w:rPr>
          <w:b/>
          <w:szCs w:val="22"/>
        </w:rPr>
      </w:pPr>
    </w:p>
    <w:p w14:paraId="12925CBB" w14:textId="77777777" w:rsidR="00216A9D" w:rsidRDefault="00396828" w:rsidP="00C4439D">
      <w:pPr>
        <w:pStyle w:val="NoSpacing"/>
        <w:numPr>
          <w:ilvl w:val="0"/>
          <w:numId w:val="8"/>
        </w:numPr>
        <w:ind w:hanging="371"/>
      </w:pPr>
      <w:r>
        <w:t xml:space="preserve"> </w:t>
      </w:r>
      <w:r w:rsidR="00C4439D">
        <w:t>At a meeting of the Governing Body in June, a case was presented for a Greater Lancashire Plan funded from the Strategic Economic Growth and Financial Sustainability Fund (SEGFSF). The estimated overall cost of producing the Greater Lancashire Plan is £400,000.</w:t>
      </w:r>
    </w:p>
    <w:p w14:paraId="13FC31A0" w14:textId="77777777" w:rsidR="00C4439D" w:rsidRDefault="00C4439D" w:rsidP="00216A9D">
      <w:pPr>
        <w:pStyle w:val="NoSpacing"/>
        <w:ind w:left="709"/>
      </w:pPr>
      <w:r>
        <w:t xml:space="preserve">  </w:t>
      </w:r>
    </w:p>
    <w:p w14:paraId="4D0889BC" w14:textId="77777777" w:rsidR="00DB6C8B" w:rsidRDefault="00216A9D" w:rsidP="00C4439D">
      <w:pPr>
        <w:pStyle w:val="NoSpacing"/>
        <w:numPr>
          <w:ilvl w:val="0"/>
          <w:numId w:val="8"/>
        </w:numPr>
        <w:ind w:hanging="371"/>
      </w:pPr>
      <w:r>
        <w:t xml:space="preserve">The £400,000 is to fund </w:t>
      </w:r>
      <w:r w:rsidR="00DB6C8B">
        <w:t xml:space="preserve">the initial work to develop the Greater Lancashire Plan. The  </w:t>
      </w:r>
      <w:r w:rsidR="00396828">
        <w:t xml:space="preserve">  </w:t>
      </w:r>
      <w:r>
        <w:t xml:space="preserve">key outputs expected arising from the Greater Lancashire Plan </w:t>
      </w:r>
      <w:r w:rsidR="00DB6C8B">
        <w:t>include:</w:t>
      </w:r>
    </w:p>
    <w:p w14:paraId="5B98DD7E" w14:textId="77777777" w:rsidR="00DB6C8B" w:rsidRDefault="00DB6C8B" w:rsidP="00DB6C8B">
      <w:pPr>
        <w:pStyle w:val="ListParagraph"/>
      </w:pPr>
    </w:p>
    <w:p w14:paraId="12760FB4" w14:textId="77777777" w:rsidR="00216A9D" w:rsidRDefault="00DB6C8B" w:rsidP="00DB6C8B">
      <w:pPr>
        <w:pStyle w:val="NoSpacing"/>
        <w:numPr>
          <w:ilvl w:val="0"/>
          <w:numId w:val="15"/>
        </w:numPr>
      </w:pPr>
      <w:r>
        <w:lastRenderedPageBreak/>
        <w:t>An independent whole place review of Lancashire, providing state of Lancashire analysis</w:t>
      </w:r>
    </w:p>
    <w:p w14:paraId="56453991" w14:textId="77777777" w:rsidR="00DB6C8B" w:rsidRDefault="00DB6C8B" w:rsidP="00DB6C8B">
      <w:pPr>
        <w:pStyle w:val="NoSpacing"/>
        <w:numPr>
          <w:ilvl w:val="0"/>
          <w:numId w:val="15"/>
        </w:numPr>
      </w:pPr>
      <w:r>
        <w:t>A bold and ambitious vision for Greater Lancashire 2050</w:t>
      </w:r>
    </w:p>
    <w:p w14:paraId="38BE4CF6" w14:textId="77777777" w:rsidR="00DB6C8B" w:rsidRDefault="00DB6C8B" w:rsidP="00DB6C8B">
      <w:pPr>
        <w:pStyle w:val="NoSpacing"/>
        <w:numPr>
          <w:ilvl w:val="0"/>
          <w:numId w:val="15"/>
        </w:numPr>
      </w:pPr>
      <w:r>
        <w:t>A strategic framework, capturing the Local transport Plan refresh, the Local Industrial Strategy and all the local plans</w:t>
      </w:r>
    </w:p>
    <w:p w14:paraId="779B58AC" w14:textId="77777777" w:rsidR="00DB6C8B" w:rsidRDefault="00DB6C8B" w:rsidP="00DB6C8B">
      <w:pPr>
        <w:pStyle w:val="NoSpacing"/>
        <w:numPr>
          <w:ilvl w:val="0"/>
          <w:numId w:val="15"/>
        </w:numPr>
      </w:pPr>
      <w:r>
        <w:t xml:space="preserve">A business case for a Greater Lancashire Strategic Intelligence Unit and secretariat </w:t>
      </w:r>
    </w:p>
    <w:p w14:paraId="1DA5C07D" w14:textId="77777777" w:rsidR="00C4439D" w:rsidRDefault="00C4439D" w:rsidP="00C4439D">
      <w:pPr>
        <w:pStyle w:val="NoSpacing"/>
        <w:ind w:left="720"/>
      </w:pPr>
    </w:p>
    <w:p w14:paraId="7AD63494" w14:textId="77777777" w:rsidR="00C4439D" w:rsidRDefault="00C4439D" w:rsidP="00396828">
      <w:pPr>
        <w:pStyle w:val="NoSpacing"/>
        <w:numPr>
          <w:ilvl w:val="0"/>
          <w:numId w:val="8"/>
        </w:numPr>
        <w:ind w:left="1134" w:hanging="425"/>
      </w:pPr>
      <w:r>
        <w:t xml:space="preserve">The </w:t>
      </w:r>
      <w:r w:rsidR="008B0104">
        <w:t xml:space="preserve">Lancashire Business rates pool </w:t>
      </w:r>
      <w:r>
        <w:t xml:space="preserve">Executive Body were asked to consider the options available for underwriting the early release of £400,000 from the </w:t>
      </w:r>
      <w:r w:rsidR="00745F13">
        <w:t xml:space="preserve">SEGFSF </w:t>
      </w:r>
      <w:r>
        <w:t xml:space="preserve">and to report back to the Governing </w:t>
      </w:r>
      <w:commentRangeStart w:id="0"/>
      <w:r>
        <w:t>Body</w:t>
      </w:r>
      <w:commentRangeEnd w:id="0"/>
      <w:r w:rsidR="002C43CF">
        <w:rPr>
          <w:rStyle w:val="CommentReference"/>
        </w:rPr>
        <w:commentReference w:id="0"/>
      </w:r>
      <w:r>
        <w:t>.</w:t>
      </w:r>
      <w:r w:rsidR="00FE68AA">
        <w:t xml:space="preserve"> </w:t>
      </w:r>
    </w:p>
    <w:p w14:paraId="06AC0250" w14:textId="77777777" w:rsidR="002C43CF" w:rsidRDefault="002C43CF" w:rsidP="00396828">
      <w:pPr>
        <w:pStyle w:val="NoSpacing"/>
        <w:ind w:left="720"/>
      </w:pPr>
    </w:p>
    <w:p w14:paraId="0FE163F3" w14:textId="77777777" w:rsidR="00ED68EE" w:rsidRDefault="00ED68EE" w:rsidP="00C4439D">
      <w:pPr>
        <w:pStyle w:val="NoSpacing"/>
        <w:numPr>
          <w:ilvl w:val="0"/>
          <w:numId w:val="8"/>
        </w:numPr>
      </w:pPr>
      <w:r w:rsidRPr="00133F2E">
        <w:t>The Lancashire BR Pool Executive Body met on 14 June 2019 and 26 July 2019. They explored how £400</w:t>
      </w:r>
      <w:r w:rsidR="00396828">
        <w:t>,000</w:t>
      </w:r>
      <w:r w:rsidRPr="00133F2E">
        <w:t xml:space="preserve"> could be released from the Strategic Economic Growth and Financial Sustainability</w:t>
      </w:r>
      <w:r w:rsidRPr="00133F2E">
        <w:rPr>
          <w:i/>
        </w:rPr>
        <w:t xml:space="preserve"> </w:t>
      </w:r>
      <w:r w:rsidR="00133F2E" w:rsidRPr="00133F2E">
        <w:t>Fu</w:t>
      </w:r>
      <w:r w:rsidRPr="00133F2E">
        <w:t>nd (SEGFSF) in this financial year to fund work on the</w:t>
      </w:r>
      <w:r w:rsidR="00133F2E">
        <w:t xml:space="preserve"> G</w:t>
      </w:r>
      <w:r w:rsidRPr="00133F2E">
        <w:t>reater Lancashire Plan i.e. prior to the BR growth income being realised and available in this fund.</w:t>
      </w:r>
    </w:p>
    <w:p w14:paraId="54C40D2F" w14:textId="77777777" w:rsidR="00133F2E" w:rsidRDefault="00133F2E" w:rsidP="00E120B8">
      <w:pPr>
        <w:pStyle w:val="NoSpacing"/>
        <w:ind w:left="720"/>
      </w:pPr>
    </w:p>
    <w:p w14:paraId="003AAEDA" w14:textId="77777777" w:rsidR="00133F2E" w:rsidRDefault="00133F2E" w:rsidP="00E120B8">
      <w:pPr>
        <w:pStyle w:val="NoSpacing"/>
        <w:numPr>
          <w:ilvl w:val="0"/>
          <w:numId w:val="8"/>
        </w:numPr>
      </w:pPr>
      <w:r w:rsidRPr="00133F2E">
        <w:t>The Executive Body considered 2 options:</w:t>
      </w:r>
    </w:p>
    <w:p w14:paraId="66528E73" w14:textId="77777777" w:rsidR="00501C7B" w:rsidRDefault="00501C7B" w:rsidP="00E120B8">
      <w:pPr>
        <w:pStyle w:val="NoSpacing"/>
        <w:numPr>
          <w:ilvl w:val="0"/>
          <w:numId w:val="14"/>
        </w:numPr>
      </w:pPr>
      <w:r>
        <w:t>Option 1 - That the advance funding is provided by one authority, or;</w:t>
      </w:r>
    </w:p>
    <w:p w14:paraId="082FC6E5" w14:textId="77777777" w:rsidR="00501C7B" w:rsidRPr="00501C7B" w:rsidRDefault="00501C7B" w:rsidP="00E120B8">
      <w:pPr>
        <w:pStyle w:val="NoSpacing"/>
        <w:numPr>
          <w:ilvl w:val="0"/>
          <w:numId w:val="14"/>
        </w:numPr>
        <w:rPr>
          <w:rFonts w:cs="Arial"/>
        </w:rPr>
      </w:pPr>
      <w:r>
        <w:t>Option 2 -That the advance funding is provided by pool members in proportion to their anticipated contribution to the fund based on NNDR1’s.</w:t>
      </w:r>
    </w:p>
    <w:p w14:paraId="2BEDFD62" w14:textId="77777777" w:rsidR="00501C7B" w:rsidRPr="00501C7B" w:rsidRDefault="00501C7B" w:rsidP="00E120B8">
      <w:pPr>
        <w:pStyle w:val="NoSpacing"/>
        <w:ind w:left="1080"/>
        <w:rPr>
          <w:rFonts w:cs="Arial"/>
        </w:rPr>
      </w:pPr>
    </w:p>
    <w:p w14:paraId="641E694C" w14:textId="77777777" w:rsidR="00501C7B" w:rsidRDefault="00501C7B" w:rsidP="00E120B8">
      <w:pPr>
        <w:pStyle w:val="ListParagraph"/>
        <w:keepNext/>
        <w:numPr>
          <w:ilvl w:val="0"/>
          <w:numId w:val="8"/>
        </w:numPr>
        <w:spacing w:after="0"/>
        <w:outlineLvl w:val="0"/>
        <w:rPr>
          <w:rFonts w:ascii="Arial" w:hAnsi="Arial" w:cs="Arial"/>
        </w:rPr>
      </w:pPr>
      <w:r w:rsidRPr="00501C7B">
        <w:rPr>
          <w:rFonts w:ascii="Arial" w:hAnsi="Arial" w:cs="Arial"/>
        </w:rPr>
        <w:t xml:space="preserve"> The Executive Body members present were minded to agree Option 2 and, subject to the views of those authorities not present, would be recommending this option to the next Governing Body meeting</w:t>
      </w:r>
      <w:r w:rsidR="00B52F54">
        <w:rPr>
          <w:rFonts w:ascii="Arial" w:hAnsi="Arial" w:cs="Arial"/>
        </w:rPr>
        <w:t>.</w:t>
      </w:r>
    </w:p>
    <w:p w14:paraId="7DBA7A7F" w14:textId="77777777" w:rsidR="00E120B8" w:rsidRPr="00E120B8" w:rsidRDefault="00E120B8" w:rsidP="00E120B8">
      <w:pPr>
        <w:keepNext/>
        <w:ind w:left="720"/>
        <w:outlineLvl w:val="0"/>
        <w:rPr>
          <w:rFonts w:cs="Arial"/>
        </w:rPr>
      </w:pPr>
    </w:p>
    <w:p w14:paraId="75FA5DEF" w14:textId="77777777" w:rsidR="00E120B8" w:rsidRPr="00E120B8" w:rsidRDefault="00E120B8" w:rsidP="00E120B8">
      <w:pPr>
        <w:pStyle w:val="ListParagraph"/>
        <w:numPr>
          <w:ilvl w:val="0"/>
          <w:numId w:val="8"/>
        </w:numPr>
        <w:spacing w:after="0"/>
        <w:rPr>
          <w:rFonts w:ascii="Arial" w:hAnsi="Arial" w:cs="Arial"/>
        </w:rPr>
      </w:pPr>
      <w:r w:rsidRPr="00E120B8">
        <w:rPr>
          <w:rFonts w:ascii="Arial" w:hAnsi="Arial" w:cs="Arial"/>
        </w:rPr>
        <w:t>The table below shows the initial contribution which would be required from each pool member in the final column:</w:t>
      </w:r>
    </w:p>
    <w:p w14:paraId="20F28726" w14:textId="77777777" w:rsidR="00E120B8" w:rsidRPr="008E6D8E" w:rsidRDefault="00E120B8" w:rsidP="008E6D8E">
      <w:pPr>
        <w:keepNext/>
        <w:outlineLvl w:val="0"/>
        <w:rPr>
          <w:rFonts w:cs="Arial"/>
        </w:rPr>
      </w:pPr>
    </w:p>
    <w:tbl>
      <w:tblPr>
        <w:tblStyle w:val="TableGrid"/>
        <w:tblW w:w="0" w:type="auto"/>
        <w:tblInd w:w="1327" w:type="dxa"/>
        <w:tblLook w:val="04A0" w:firstRow="1" w:lastRow="0" w:firstColumn="1" w:lastColumn="0" w:noHBand="0" w:noVBand="1"/>
      </w:tblPr>
      <w:tblGrid>
        <w:gridCol w:w="2930"/>
        <w:gridCol w:w="1732"/>
        <w:gridCol w:w="1984"/>
      </w:tblGrid>
      <w:tr w:rsidR="008E6D8E" w:rsidRPr="008E6D8E" w14:paraId="0DA002B3" w14:textId="77777777" w:rsidTr="00FB67C4">
        <w:tc>
          <w:tcPr>
            <w:tcW w:w="2930" w:type="dxa"/>
          </w:tcPr>
          <w:p w14:paraId="133770E2" w14:textId="77777777" w:rsidR="008E6D8E" w:rsidRPr="008E6D8E" w:rsidRDefault="008E6D8E" w:rsidP="00E120B8">
            <w:pPr>
              <w:pStyle w:val="NoSpacing"/>
              <w:rPr>
                <w:b/>
              </w:rPr>
            </w:pPr>
            <w:r w:rsidRPr="008E6D8E">
              <w:rPr>
                <w:b/>
              </w:rPr>
              <w:t>Pool Member</w:t>
            </w:r>
          </w:p>
        </w:tc>
        <w:tc>
          <w:tcPr>
            <w:tcW w:w="1732" w:type="dxa"/>
          </w:tcPr>
          <w:p w14:paraId="50F24ACB" w14:textId="77777777" w:rsidR="000013FD" w:rsidRDefault="000013FD" w:rsidP="000013FD">
            <w:pPr>
              <w:pStyle w:val="NoSpacing"/>
              <w:jc w:val="center"/>
              <w:rPr>
                <w:b/>
                <w:bCs/>
              </w:rPr>
            </w:pPr>
            <w:r>
              <w:rPr>
                <w:b/>
              </w:rPr>
              <w:t xml:space="preserve">Estimated </w:t>
            </w:r>
            <w:r w:rsidR="008E6D8E" w:rsidRPr="008E6D8E">
              <w:rPr>
                <w:b/>
              </w:rPr>
              <w:t>C</w:t>
            </w:r>
            <w:r w:rsidR="008E6D8E" w:rsidRPr="008E6D8E">
              <w:rPr>
                <w:b/>
                <w:bCs/>
              </w:rPr>
              <w:t>ontribution to</w:t>
            </w:r>
          </w:p>
          <w:p w14:paraId="7A2C2C87" w14:textId="77777777" w:rsidR="008E6D8E" w:rsidRDefault="008E6D8E" w:rsidP="000013FD">
            <w:pPr>
              <w:pStyle w:val="NoSpacing"/>
              <w:jc w:val="center"/>
              <w:rPr>
                <w:b/>
                <w:bCs/>
              </w:rPr>
            </w:pPr>
            <w:r w:rsidRPr="008E6D8E">
              <w:rPr>
                <w:b/>
                <w:bCs/>
              </w:rPr>
              <w:t>SEGFSF</w:t>
            </w:r>
          </w:p>
          <w:p w14:paraId="0BB52EA2" w14:textId="77777777" w:rsidR="000013FD" w:rsidRDefault="000013FD" w:rsidP="000013FD">
            <w:pPr>
              <w:pStyle w:val="NoSpacing"/>
              <w:jc w:val="center"/>
              <w:rPr>
                <w:b/>
                <w:bCs/>
              </w:rPr>
            </w:pPr>
          </w:p>
          <w:p w14:paraId="40CAAC6E" w14:textId="77777777" w:rsidR="008E6D8E" w:rsidRPr="008E6D8E" w:rsidRDefault="008E6D8E" w:rsidP="000013FD">
            <w:pPr>
              <w:pStyle w:val="NoSpacing"/>
              <w:jc w:val="center"/>
              <w:rPr>
                <w:b/>
              </w:rPr>
            </w:pPr>
            <w:r w:rsidRPr="008E6D8E">
              <w:rPr>
                <w:b/>
                <w:bCs/>
              </w:rPr>
              <w:t>£</w:t>
            </w:r>
          </w:p>
        </w:tc>
        <w:tc>
          <w:tcPr>
            <w:tcW w:w="1984" w:type="dxa"/>
          </w:tcPr>
          <w:p w14:paraId="3A45DEEA" w14:textId="77777777" w:rsidR="008E6D8E" w:rsidRDefault="008E6D8E" w:rsidP="000013FD">
            <w:pPr>
              <w:pStyle w:val="NoSpacing"/>
              <w:jc w:val="center"/>
              <w:rPr>
                <w:b/>
                <w:bCs/>
              </w:rPr>
            </w:pPr>
            <w:r w:rsidRPr="008E6D8E">
              <w:rPr>
                <w:b/>
                <w:bCs/>
              </w:rPr>
              <w:t>All to underwrite pro rata to expected contribution to SEGFSF</w:t>
            </w:r>
          </w:p>
          <w:p w14:paraId="25858084" w14:textId="77777777" w:rsidR="008E6D8E" w:rsidRPr="008E6D8E" w:rsidRDefault="008E6D8E" w:rsidP="00E120B8">
            <w:pPr>
              <w:pStyle w:val="NoSpacing"/>
              <w:rPr>
                <w:b/>
              </w:rPr>
            </w:pPr>
            <w:r w:rsidRPr="008E6D8E">
              <w:rPr>
                <w:b/>
                <w:bCs/>
              </w:rPr>
              <w:t xml:space="preserve"> </w:t>
            </w:r>
            <w:r w:rsidR="000013FD">
              <w:rPr>
                <w:b/>
                <w:bCs/>
              </w:rPr>
              <w:t xml:space="preserve">            </w:t>
            </w:r>
            <w:r w:rsidRPr="008E6D8E">
              <w:rPr>
                <w:b/>
                <w:bCs/>
              </w:rPr>
              <w:t>£</w:t>
            </w:r>
          </w:p>
        </w:tc>
      </w:tr>
      <w:tr w:rsidR="000013FD" w14:paraId="15CB704C" w14:textId="77777777" w:rsidTr="00FB67C4">
        <w:tc>
          <w:tcPr>
            <w:tcW w:w="2930" w:type="dxa"/>
          </w:tcPr>
          <w:p w14:paraId="4E945016" w14:textId="77777777" w:rsidR="000013FD" w:rsidRPr="000013FD" w:rsidRDefault="000013FD" w:rsidP="000013FD">
            <w:pPr>
              <w:pStyle w:val="NoSpacing"/>
              <w:ind w:left="160"/>
            </w:pPr>
            <w:r w:rsidRPr="000013FD">
              <w:t xml:space="preserve">Blackburn with Darwen </w:t>
            </w:r>
          </w:p>
        </w:tc>
        <w:tc>
          <w:tcPr>
            <w:tcW w:w="1732" w:type="dxa"/>
          </w:tcPr>
          <w:p w14:paraId="2AD14BA3" w14:textId="77777777" w:rsidR="000013FD" w:rsidRPr="008E6D8E" w:rsidRDefault="000013FD" w:rsidP="000013FD">
            <w:pPr>
              <w:pStyle w:val="NoSpacing"/>
              <w:ind w:left="720" w:hanging="514"/>
              <w:jc w:val="center"/>
            </w:pPr>
            <w:r w:rsidRPr="008E6D8E">
              <w:t>445,648</w:t>
            </w:r>
          </w:p>
        </w:tc>
        <w:tc>
          <w:tcPr>
            <w:tcW w:w="1984" w:type="dxa"/>
          </w:tcPr>
          <w:p w14:paraId="3A4F786B" w14:textId="77777777" w:rsidR="000013FD" w:rsidRPr="008E6D8E" w:rsidRDefault="000013FD" w:rsidP="000013FD">
            <w:pPr>
              <w:pStyle w:val="NoSpacing"/>
              <w:ind w:left="459"/>
            </w:pPr>
            <w:r w:rsidRPr="008E6D8E">
              <w:t xml:space="preserve">65,669 </w:t>
            </w:r>
          </w:p>
        </w:tc>
      </w:tr>
      <w:tr w:rsidR="000013FD" w14:paraId="723DC6FE" w14:textId="77777777" w:rsidTr="00FB67C4">
        <w:tc>
          <w:tcPr>
            <w:tcW w:w="2930" w:type="dxa"/>
          </w:tcPr>
          <w:p w14:paraId="389FDBC4" w14:textId="77777777" w:rsidR="000013FD" w:rsidRPr="008E6D8E" w:rsidRDefault="000013FD" w:rsidP="000013FD">
            <w:pPr>
              <w:pStyle w:val="NoSpacing"/>
              <w:ind w:left="160"/>
            </w:pPr>
            <w:r w:rsidRPr="008E6D8E">
              <w:t xml:space="preserve">Blackpool </w:t>
            </w:r>
          </w:p>
        </w:tc>
        <w:tc>
          <w:tcPr>
            <w:tcW w:w="1732" w:type="dxa"/>
          </w:tcPr>
          <w:p w14:paraId="67BEC4F8" w14:textId="77777777" w:rsidR="000013FD" w:rsidRPr="008E6D8E" w:rsidRDefault="000013FD" w:rsidP="000013FD">
            <w:pPr>
              <w:pStyle w:val="NoSpacing"/>
              <w:ind w:left="720" w:hanging="514"/>
              <w:jc w:val="center"/>
            </w:pPr>
            <w:r w:rsidRPr="008E6D8E">
              <w:t>0</w:t>
            </w:r>
          </w:p>
        </w:tc>
        <w:tc>
          <w:tcPr>
            <w:tcW w:w="1984" w:type="dxa"/>
          </w:tcPr>
          <w:p w14:paraId="1C9744F9" w14:textId="77777777" w:rsidR="000013FD" w:rsidRPr="008E6D8E" w:rsidRDefault="000013FD" w:rsidP="000013FD">
            <w:pPr>
              <w:pStyle w:val="NoSpacing"/>
              <w:ind w:left="459"/>
            </w:pPr>
            <w:r w:rsidRPr="008E6D8E">
              <w:t xml:space="preserve">0 </w:t>
            </w:r>
          </w:p>
        </w:tc>
      </w:tr>
      <w:tr w:rsidR="000013FD" w14:paraId="39A824E1" w14:textId="77777777" w:rsidTr="00FB67C4">
        <w:tc>
          <w:tcPr>
            <w:tcW w:w="2930" w:type="dxa"/>
          </w:tcPr>
          <w:p w14:paraId="4707E380" w14:textId="77777777" w:rsidR="000013FD" w:rsidRPr="008E6D8E" w:rsidRDefault="000013FD" w:rsidP="000013FD">
            <w:pPr>
              <w:pStyle w:val="NoSpacing"/>
              <w:ind w:left="160"/>
            </w:pPr>
            <w:r w:rsidRPr="008E6D8E">
              <w:t xml:space="preserve">Burnley </w:t>
            </w:r>
          </w:p>
        </w:tc>
        <w:tc>
          <w:tcPr>
            <w:tcW w:w="1732" w:type="dxa"/>
          </w:tcPr>
          <w:p w14:paraId="14AF8EA1" w14:textId="77777777" w:rsidR="000013FD" w:rsidRPr="008E6D8E" w:rsidRDefault="000013FD" w:rsidP="000013FD">
            <w:pPr>
              <w:pStyle w:val="NoSpacing"/>
              <w:ind w:left="720" w:hanging="514"/>
              <w:jc w:val="center"/>
            </w:pPr>
            <w:r w:rsidRPr="008E6D8E">
              <w:t>236,219</w:t>
            </w:r>
          </w:p>
        </w:tc>
        <w:tc>
          <w:tcPr>
            <w:tcW w:w="1984" w:type="dxa"/>
          </w:tcPr>
          <w:p w14:paraId="2DFF63E5" w14:textId="77777777" w:rsidR="000013FD" w:rsidRPr="008E6D8E" w:rsidRDefault="000013FD" w:rsidP="000013FD">
            <w:pPr>
              <w:pStyle w:val="NoSpacing"/>
              <w:ind w:left="459"/>
            </w:pPr>
            <w:r w:rsidRPr="008E6D8E">
              <w:t xml:space="preserve">34,808 </w:t>
            </w:r>
          </w:p>
        </w:tc>
      </w:tr>
      <w:tr w:rsidR="000013FD" w14:paraId="59295E41" w14:textId="77777777" w:rsidTr="00FB67C4">
        <w:tc>
          <w:tcPr>
            <w:tcW w:w="2930" w:type="dxa"/>
          </w:tcPr>
          <w:p w14:paraId="029B99AB" w14:textId="77777777" w:rsidR="000013FD" w:rsidRPr="008E6D8E" w:rsidRDefault="000013FD" w:rsidP="000013FD">
            <w:pPr>
              <w:pStyle w:val="NoSpacing"/>
              <w:ind w:left="160"/>
            </w:pPr>
            <w:r w:rsidRPr="008E6D8E">
              <w:t xml:space="preserve">Chorley </w:t>
            </w:r>
          </w:p>
        </w:tc>
        <w:tc>
          <w:tcPr>
            <w:tcW w:w="1732" w:type="dxa"/>
          </w:tcPr>
          <w:p w14:paraId="2662E501" w14:textId="77777777" w:rsidR="000013FD" w:rsidRPr="008E6D8E" w:rsidRDefault="000013FD" w:rsidP="000013FD">
            <w:pPr>
              <w:pStyle w:val="NoSpacing"/>
              <w:ind w:left="720" w:hanging="514"/>
              <w:jc w:val="center"/>
            </w:pPr>
            <w:r w:rsidRPr="008E6D8E">
              <w:t>177,840</w:t>
            </w:r>
          </w:p>
        </w:tc>
        <w:tc>
          <w:tcPr>
            <w:tcW w:w="1984" w:type="dxa"/>
          </w:tcPr>
          <w:p w14:paraId="3AF80D77" w14:textId="77777777" w:rsidR="000013FD" w:rsidRPr="008E6D8E" w:rsidRDefault="000013FD" w:rsidP="000013FD">
            <w:pPr>
              <w:pStyle w:val="NoSpacing"/>
              <w:ind w:left="459"/>
            </w:pPr>
            <w:r w:rsidRPr="008E6D8E">
              <w:t xml:space="preserve">26,206 </w:t>
            </w:r>
          </w:p>
        </w:tc>
      </w:tr>
      <w:tr w:rsidR="000013FD" w14:paraId="6AF34E21" w14:textId="77777777" w:rsidTr="00FB67C4">
        <w:tc>
          <w:tcPr>
            <w:tcW w:w="2930" w:type="dxa"/>
          </w:tcPr>
          <w:p w14:paraId="2311BD28" w14:textId="77777777" w:rsidR="000013FD" w:rsidRPr="008E6D8E" w:rsidRDefault="000013FD" w:rsidP="000013FD">
            <w:pPr>
              <w:pStyle w:val="NoSpacing"/>
              <w:ind w:left="160"/>
            </w:pPr>
            <w:r w:rsidRPr="008E6D8E">
              <w:t xml:space="preserve">Fylde </w:t>
            </w:r>
          </w:p>
        </w:tc>
        <w:tc>
          <w:tcPr>
            <w:tcW w:w="1732" w:type="dxa"/>
          </w:tcPr>
          <w:p w14:paraId="7A925D54" w14:textId="77777777" w:rsidR="000013FD" w:rsidRPr="008E6D8E" w:rsidRDefault="000013FD" w:rsidP="000013FD">
            <w:pPr>
              <w:pStyle w:val="NoSpacing"/>
              <w:ind w:left="720" w:hanging="514"/>
              <w:jc w:val="center"/>
            </w:pPr>
            <w:r w:rsidRPr="008E6D8E">
              <w:t>137,497</w:t>
            </w:r>
          </w:p>
        </w:tc>
        <w:tc>
          <w:tcPr>
            <w:tcW w:w="1984" w:type="dxa"/>
          </w:tcPr>
          <w:p w14:paraId="5C134963" w14:textId="77777777" w:rsidR="000013FD" w:rsidRPr="008E6D8E" w:rsidRDefault="000013FD" w:rsidP="000013FD">
            <w:pPr>
              <w:pStyle w:val="NoSpacing"/>
              <w:ind w:left="459"/>
            </w:pPr>
            <w:r w:rsidRPr="008E6D8E">
              <w:t xml:space="preserve">20,261 </w:t>
            </w:r>
          </w:p>
        </w:tc>
      </w:tr>
      <w:tr w:rsidR="000013FD" w14:paraId="5C3DA799" w14:textId="77777777" w:rsidTr="00FB67C4">
        <w:tc>
          <w:tcPr>
            <w:tcW w:w="2930" w:type="dxa"/>
          </w:tcPr>
          <w:p w14:paraId="130928CC" w14:textId="77777777" w:rsidR="000013FD" w:rsidRPr="008E6D8E" w:rsidRDefault="000013FD" w:rsidP="000013FD">
            <w:pPr>
              <w:pStyle w:val="NoSpacing"/>
              <w:ind w:left="160"/>
            </w:pPr>
            <w:r w:rsidRPr="008E6D8E">
              <w:t xml:space="preserve">Hyndburn </w:t>
            </w:r>
          </w:p>
        </w:tc>
        <w:tc>
          <w:tcPr>
            <w:tcW w:w="1732" w:type="dxa"/>
          </w:tcPr>
          <w:p w14:paraId="616EE7A9" w14:textId="77777777" w:rsidR="000013FD" w:rsidRPr="008E6D8E" w:rsidRDefault="000013FD" w:rsidP="000013FD">
            <w:pPr>
              <w:pStyle w:val="NoSpacing"/>
              <w:ind w:left="720" w:hanging="514"/>
              <w:jc w:val="center"/>
            </w:pPr>
            <w:r w:rsidRPr="008E6D8E">
              <w:t>26,500</w:t>
            </w:r>
          </w:p>
        </w:tc>
        <w:tc>
          <w:tcPr>
            <w:tcW w:w="1984" w:type="dxa"/>
          </w:tcPr>
          <w:p w14:paraId="76BA1828" w14:textId="77777777" w:rsidR="000013FD" w:rsidRPr="008E6D8E" w:rsidRDefault="000013FD" w:rsidP="000013FD">
            <w:pPr>
              <w:pStyle w:val="NoSpacing"/>
              <w:ind w:left="459"/>
            </w:pPr>
            <w:r w:rsidRPr="008E6D8E">
              <w:t xml:space="preserve">3,905 </w:t>
            </w:r>
          </w:p>
        </w:tc>
      </w:tr>
      <w:tr w:rsidR="000013FD" w14:paraId="611E81D9" w14:textId="77777777" w:rsidTr="00FB67C4">
        <w:tc>
          <w:tcPr>
            <w:tcW w:w="2930" w:type="dxa"/>
          </w:tcPr>
          <w:p w14:paraId="4453762B" w14:textId="77777777" w:rsidR="000013FD" w:rsidRPr="008E6D8E" w:rsidRDefault="000013FD" w:rsidP="000013FD">
            <w:pPr>
              <w:pStyle w:val="NoSpacing"/>
              <w:ind w:left="160"/>
            </w:pPr>
            <w:r w:rsidRPr="008E6D8E">
              <w:t xml:space="preserve">Lancashire </w:t>
            </w:r>
          </w:p>
        </w:tc>
        <w:tc>
          <w:tcPr>
            <w:tcW w:w="1732" w:type="dxa"/>
          </w:tcPr>
          <w:p w14:paraId="50E92470" w14:textId="77777777" w:rsidR="000013FD" w:rsidRPr="008E6D8E" w:rsidRDefault="000013FD" w:rsidP="000013FD">
            <w:pPr>
              <w:pStyle w:val="NoSpacing"/>
              <w:ind w:left="720" w:hanging="514"/>
              <w:jc w:val="center"/>
            </w:pPr>
            <w:r w:rsidRPr="008E6D8E">
              <w:t>773,067</w:t>
            </w:r>
          </w:p>
        </w:tc>
        <w:tc>
          <w:tcPr>
            <w:tcW w:w="1984" w:type="dxa"/>
          </w:tcPr>
          <w:p w14:paraId="1B27CE35" w14:textId="77777777" w:rsidR="000013FD" w:rsidRPr="008E6D8E" w:rsidRDefault="000013FD" w:rsidP="000013FD">
            <w:pPr>
              <w:pStyle w:val="NoSpacing"/>
              <w:ind w:left="459"/>
            </w:pPr>
            <w:r w:rsidRPr="008E6D8E">
              <w:t xml:space="preserve">113,916 </w:t>
            </w:r>
          </w:p>
        </w:tc>
      </w:tr>
      <w:tr w:rsidR="000013FD" w14:paraId="6027AA6B" w14:textId="77777777" w:rsidTr="00FB67C4">
        <w:tc>
          <w:tcPr>
            <w:tcW w:w="2930" w:type="dxa"/>
          </w:tcPr>
          <w:p w14:paraId="6A683D51" w14:textId="77777777" w:rsidR="000013FD" w:rsidRPr="008E6D8E" w:rsidRDefault="000013FD" w:rsidP="000013FD">
            <w:pPr>
              <w:pStyle w:val="NoSpacing"/>
              <w:ind w:left="160"/>
            </w:pPr>
            <w:r w:rsidRPr="008E6D8E">
              <w:t xml:space="preserve">Lancashire Fire Authority </w:t>
            </w:r>
          </w:p>
        </w:tc>
        <w:tc>
          <w:tcPr>
            <w:tcW w:w="1732" w:type="dxa"/>
          </w:tcPr>
          <w:p w14:paraId="3C054450" w14:textId="77777777" w:rsidR="000013FD" w:rsidRPr="008E6D8E" w:rsidRDefault="000013FD" w:rsidP="000013FD">
            <w:pPr>
              <w:pStyle w:val="NoSpacing"/>
              <w:ind w:left="720" w:hanging="514"/>
              <w:jc w:val="center"/>
            </w:pPr>
            <w:r w:rsidRPr="008E6D8E">
              <w:t>53,363</w:t>
            </w:r>
          </w:p>
        </w:tc>
        <w:tc>
          <w:tcPr>
            <w:tcW w:w="1984" w:type="dxa"/>
          </w:tcPr>
          <w:p w14:paraId="311A7C84" w14:textId="77777777" w:rsidR="000013FD" w:rsidRPr="008E6D8E" w:rsidRDefault="000013FD" w:rsidP="000013FD">
            <w:pPr>
              <w:pStyle w:val="NoSpacing"/>
              <w:ind w:left="459"/>
            </w:pPr>
            <w:r w:rsidRPr="008E6D8E">
              <w:t xml:space="preserve">7,863 </w:t>
            </w:r>
          </w:p>
        </w:tc>
      </w:tr>
      <w:tr w:rsidR="000013FD" w14:paraId="144002D4" w14:textId="77777777" w:rsidTr="00FB67C4">
        <w:tc>
          <w:tcPr>
            <w:tcW w:w="2930" w:type="dxa"/>
          </w:tcPr>
          <w:p w14:paraId="6CC1BC3C" w14:textId="77777777" w:rsidR="000013FD" w:rsidRPr="008E6D8E" w:rsidRDefault="000013FD" w:rsidP="000013FD">
            <w:pPr>
              <w:pStyle w:val="NoSpacing"/>
              <w:ind w:left="160"/>
            </w:pPr>
            <w:r w:rsidRPr="008E6D8E">
              <w:rPr>
                <w:i/>
                <w:iCs/>
              </w:rPr>
              <w:t xml:space="preserve">Lancaster </w:t>
            </w:r>
          </w:p>
        </w:tc>
        <w:tc>
          <w:tcPr>
            <w:tcW w:w="1732" w:type="dxa"/>
          </w:tcPr>
          <w:p w14:paraId="5F5F432E" w14:textId="77777777" w:rsidR="000013FD" w:rsidRPr="008E6D8E" w:rsidRDefault="000013FD" w:rsidP="000013FD">
            <w:pPr>
              <w:pStyle w:val="NoSpacing"/>
              <w:ind w:left="720" w:hanging="514"/>
              <w:jc w:val="center"/>
            </w:pPr>
            <w:r w:rsidRPr="008E6D8E">
              <w:rPr>
                <w:i/>
                <w:iCs/>
              </w:rPr>
              <w:t>0</w:t>
            </w:r>
          </w:p>
        </w:tc>
        <w:tc>
          <w:tcPr>
            <w:tcW w:w="1984" w:type="dxa"/>
          </w:tcPr>
          <w:p w14:paraId="64A11F70" w14:textId="77777777" w:rsidR="000013FD" w:rsidRPr="008E6D8E" w:rsidRDefault="000013FD" w:rsidP="000013FD">
            <w:pPr>
              <w:pStyle w:val="NoSpacing"/>
              <w:ind w:left="459"/>
            </w:pPr>
            <w:r w:rsidRPr="008E6D8E">
              <w:rPr>
                <w:i/>
                <w:iCs/>
              </w:rPr>
              <w:t xml:space="preserve">0 </w:t>
            </w:r>
          </w:p>
        </w:tc>
      </w:tr>
      <w:tr w:rsidR="000013FD" w14:paraId="19E0F431" w14:textId="77777777" w:rsidTr="00FB67C4">
        <w:tc>
          <w:tcPr>
            <w:tcW w:w="2930" w:type="dxa"/>
          </w:tcPr>
          <w:p w14:paraId="76B92B25" w14:textId="77777777" w:rsidR="000013FD" w:rsidRPr="008E6D8E" w:rsidRDefault="000013FD" w:rsidP="000013FD">
            <w:pPr>
              <w:pStyle w:val="NoSpacing"/>
              <w:ind w:left="160"/>
            </w:pPr>
            <w:r w:rsidRPr="008E6D8E">
              <w:t xml:space="preserve">Pendle </w:t>
            </w:r>
          </w:p>
        </w:tc>
        <w:tc>
          <w:tcPr>
            <w:tcW w:w="1732" w:type="dxa"/>
          </w:tcPr>
          <w:p w14:paraId="38B92A1F" w14:textId="77777777" w:rsidR="000013FD" w:rsidRPr="008E6D8E" w:rsidRDefault="000013FD" w:rsidP="000013FD">
            <w:pPr>
              <w:pStyle w:val="NoSpacing"/>
              <w:ind w:left="720" w:hanging="514"/>
              <w:jc w:val="center"/>
            </w:pPr>
            <w:r w:rsidRPr="008E6D8E">
              <w:t>69,242</w:t>
            </w:r>
          </w:p>
        </w:tc>
        <w:tc>
          <w:tcPr>
            <w:tcW w:w="1984" w:type="dxa"/>
          </w:tcPr>
          <w:p w14:paraId="3291AE85" w14:textId="77777777" w:rsidR="000013FD" w:rsidRPr="008E6D8E" w:rsidRDefault="000013FD" w:rsidP="000013FD">
            <w:pPr>
              <w:pStyle w:val="NoSpacing"/>
              <w:ind w:left="459"/>
            </w:pPr>
            <w:r w:rsidRPr="008E6D8E">
              <w:t xml:space="preserve">10,203 </w:t>
            </w:r>
          </w:p>
        </w:tc>
      </w:tr>
      <w:tr w:rsidR="000013FD" w14:paraId="6EB60146" w14:textId="77777777" w:rsidTr="00FB67C4">
        <w:tc>
          <w:tcPr>
            <w:tcW w:w="2930" w:type="dxa"/>
          </w:tcPr>
          <w:p w14:paraId="6604C767" w14:textId="77777777" w:rsidR="000013FD" w:rsidRPr="008E6D8E" w:rsidRDefault="000013FD" w:rsidP="000013FD">
            <w:pPr>
              <w:pStyle w:val="NoSpacing"/>
              <w:ind w:left="160"/>
            </w:pPr>
            <w:r w:rsidRPr="008E6D8E">
              <w:t xml:space="preserve">Preston </w:t>
            </w:r>
          </w:p>
        </w:tc>
        <w:tc>
          <w:tcPr>
            <w:tcW w:w="1732" w:type="dxa"/>
          </w:tcPr>
          <w:p w14:paraId="60629ED2" w14:textId="77777777" w:rsidR="000013FD" w:rsidRPr="008E6D8E" w:rsidRDefault="000013FD" w:rsidP="000013FD">
            <w:pPr>
              <w:pStyle w:val="NoSpacing"/>
              <w:ind w:left="720" w:hanging="514"/>
              <w:jc w:val="center"/>
            </w:pPr>
            <w:r w:rsidRPr="008E6D8E">
              <w:t>38,913</w:t>
            </w:r>
          </w:p>
        </w:tc>
        <w:tc>
          <w:tcPr>
            <w:tcW w:w="1984" w:type="dxa"/>
          </w:tcPr>
          <w:p w14:paraId="4273C76A" w14:textId="77777777" w:rsidR="000013FD" w:rsidRPr="008E6D8E" w:rsidRDefault="000013FD" w:rsidP="000013FD">
            <w:pPr>
              <w:pStyle w:val="NoSpacing"/>
              <w:ind w:left="459"/>
            </w:pPr>
            <w:r w:rsidRPr="008E6D8E">
              <w:t xml:space="preserve">5,734 </w:t>
            </w:r>
          </w:p>
        </w:tc>
      </w:tr>
      <w:tr w:rsidR="000013FD" w14:paraId="04E7625D" w14:textId="77777777" w:rsidTr="00FB67C4">
        <w:tc>
          <w:tcPr>
            <w:tcW w:w="2930" w:type="dxa"/>
          </w:tcPr>
          <w:p w14:paraId="575BDD7A" w14:textId="77777777" w:rsidR="000013FD" w:rsidRPr="008E6D8E" w:rsidRDefault="000013FD" w:rsidP="000013FD">
            <w:pPr>
              <w:pStyle w:val="NoSpacing"/>
              <w:ind w:left="160"/>
            </w:pPr>
            <w:r w:rsidRPr="008E6D8E">
              <w:t xml:space="preserve">Ribble Valley </w:t>
            </w:r>
          </w:p>
        </w:tc>
        <w:tc>
          <w:tcPr>
            <w:tcW w:w="1732" w:type="dxa"/>
          </w:tcPr>
          <w:p w14:paraId="7A4C85AE" w14:textId="77777777" w:rsidR="000013FD" w:rsidRPr="008E6D8E" w:rsidRDefault="000013FD" w:rsidP="000013FD">
            <w:pPr>
              <w:pStyle w:val="NoSpacing"/>
              <w:ind w:left="720" w:hanging="514"/>
              <w:jc w:val="center"/>
            </w:pPr>
            <w:r w:rsidRPr="008E6D8E">
              <w:t>147,776</w:t>
            </w:r>
          </w:p>
        </w:tc>
        <w:tc>
          <w:tcPr>
            <w:tcW w:w="1984" w:type="dxa"/>
          </w:tcPr>
          <w:p w14:paraId="64B167C8" w14:textId="77777777" w:rsidR="000013FD" w:rsidRPr="008E6D8E" w:rsidRDefault="000013FD" w:rsidP="000013FD">
            <w:pPr>
              <w:pStyle w:val="NoSpacing"/>
              <w:ind w:left="459"/>
            </w:pPr>
            <w:r w:rsidRPr="008E6D8E">
              <w:t xml:space="preserve">21,776 </w:t>
            </w:r>
          </w:p>
        </w:tc>
      </w:tr>
      <w:tr w:rsidR="000013FD" w14:paraId="3F5985ED" w14:textId="77777777" w:rsidTr="00FB67C4">
        <w:tc>
          <w:tcPr>
            <w:tcW w:w="2930" w:type="dxa"/>
            <w:tcBorders>
              <w:bottom w:val="single" w:sz="4" w:space="0" w:color="auto"/>
            </w:tcBorders>
          </w:tcPr>
          <w:p w14:paraId="3BB5432E" w14:textId="77777777" w:rsidR="000013FD" w:rsidRPr="008E6D8E" w:rsidRDefault="000013FD" w:rsidP="000013FD">
            <w:pPr>
              <w:pStyle w:val="NoSpacing"/>
              <w:ind w:left="160"/>
            </w:pPr>
            <w:r w:rsidRPr="008E6D8E">
              <w:t xml:space="preserve">Rossendale </w:t>
            </w:r>
          </w:p>
        </w:tc>
        <w:tc>
          <w:tcPr>
            <w:tcW w:w="1732" w:type="dxa"/>
            <w:tcBorders>
              <w:bottom w:val="single" w:sz="4" w:space="0" w:color="auto"/>
            </w:tcBorders>
          </w:tcPr>
          <w:p w14:paraId="33DF1ACC" w14:textId="77777777" w:rsidR="000013FD" w:rsidRPr="008E6D8E" w:rsidRDefault="000013FD" w:rsidP="000013FD">
            <w:pPr>
              <w:pStyle w:val="NoSpacing"/>
              <w:ind w:left="720" w:hanging="514"/>
              <w:jc w:val="center"/>
            </w:pPr>
            <w:r w:rsidRPr="008E6D8E">
              <w:t>94,801</w:t>
            </w:r>
          </w:p>
        </w:tc>
        <w:tc>
          <w:tcPr>
            <w:tcW w:w="1984" w:type="dxa"/>
            <w:tcBorders>
              <w:bottom w:val="single" w:sz="4" w:space="0" w:color="auto"/>
            </w:tcBorders>
          </w:tcPr>
          <w:p w14:paraId="1113CAD8" w14:textId="77777777" w:rsidR="000013FD" w:rsidRPr="008E6D8E" w:rsidRDefault="000013FD" w:rsidP="000013FD">
            <w:pPr>
              <w:pStyle w:val="NoSpacing"/>
              <w:ind w:left="459"/>
            </w:pPr>
            <w:r w:rsidRPr="008E6D8E">
              <w:t xml:space="preserve">13,969 </w:t>
            </w:r>
          </w:p>
        </w:tc>
      </w:tr>
      <w:tr w:rsidR="000013FD" w14:paraId="340C3DD4" w14:textId="77777777" w:rsidTr="00FB67C4">
        <w:tc>
          <w:tcPr>
            <w:tcW w:w="2930" w:type="dxa"/>
            <w:shd w:val="clear" w:color="auto" w:fill="D9D9D9" w:themeFill="background1" w:themeFillShade="D9"/>
          </w:tcPr>
          <w:p w14:paraId="6873BD8C" w14:textId="77777777" w:rsidR="000013FD" w:rsidRPr="008E6D8E" w:rsidRDefault="000013FD" w:rsidP="000013FD">
            <w:pPr>
              <w:pStyle w:val="NoSpacing"/>
              <w:ind w:left="160"/>
            </w:pPr>
            <w:r w:rsidRPr="008E6D8E">
              <w:t xml:space="preserve">South Ribble </w:t>
            </w:r>
          </w:p>
        </w:tc>
        <w:tc>
          <w:tcPr>
            <w:tcW w:w="1732" w:type="dxa"/>
            <w:shd w:val="clear" w:color="auto" w:fill="D9D9D9" w:themeFill="background1" w:themeFillShade="D9"/>
          </w:tcPr>
          <w:p w14:paraId="3B3B85A4" w14:textId="77777777" w:rsidR="000013FD" w:rsidRPr="008E6D8E" w:rsidRDefault="000013FD" w:rsidP="000013FD">
            <w:pPr>
              <w:pStyle w:val="NoSpacing"/>
              <w:ind w:left="720" w:hanging="514"/>
              <w:jc w:val="center"/>
            </w:pPr>
            <w:r w:rsidRPr="008E6D8E">
              <w:t>244,386</w:t>
            </w:r>
          </w:p>
        </w:tc>
        <w:tc>
          <w:tcPr>
            <w:tcW w:w="1984" w:type="dxa"/>
            <w:shd w:val="clear" w:color="auto" w:fill="D9D9D9" w:themeFill="background1" w:themeFillShade="D9"/>
          </w:tcPr>
          <w:p w14:paraId="7582BFFD" w14:textId="77777777" w:rsidR="000013FD" w:rsidRPr="008E6D8E" w:rsidRDefault="000013FD" w:rsidP="000013FD">
            <w:pPr>
              <w:pStyle w:val="NoSpacing"/>
              <w:ind w:left="459"/>
            </w:pPr>
            <w:r w:rsidRPr="008E6D8E">
              <w:t xml:space="preserve">36,012 </w:t>
            </w:r>
          </w:p>
        </w:tc>
      </w:tr>
      <w:tr w:rsidR="000013FD" w14:paraId="36A69F4E" w14:textId="77777777" w:rsidTr="00FB67C4">
        <w:tc>
          <w:tcPr>
            <w:tcW w:w="2930" w:type="dxa"/>
          </w:tcPr>
          <w:p w14:paraId="54ACBDAA" w14:textId="77777777" w:rsidR="000013FD" w:rsidRPr="008E6D8E" w:rsidRDefault="000013FD" w:rsidP="000013FD">
            <w:pPr>
              <w:pStyle w:val="NoSpacing"/>
              <w:ind w:left="160"/>
            </w:pPr>
            <w:r w:rsidRPr="008E6D8E">
              <w:t xml:space="preserve">West Lancashire </w:t>
            </w:r>
          </w:p>
        </w:tc>
        <w:tc>
          <w:tcPr>
            <w:tcW w:w="1732" w:type="dxa"/>
          </w:tcPr>
          <w:p w14:paraId="01F4FFD3" w14:textId="77777777" w:rsidR="000013FD" w:rsidRPr="008E6D8E" w:rsidRDefault="000013FD" w:rsidP="000013FD">
            <w:pPr>
              <w:pStyle w:val="NoSpacing"/>
              <w:ind w:left="720" w:hanging="514"/>
              <w:jc w:val="center"/>
            </w:pPr>
            <w:r w:rsidRPr="008E6D8E">
              <w:t>120,961</w:t>
            </w:r>
          </w:p>
        </w:tc>
        <w:tc>
          <w:tcPr>
            <w:tcW w:w="1984" w:type="dxa"/>
          </w:tcPr>
          <w:p w14:paraId="2F06E5B2" w14:textId="77777777" w:rsidR="000013FD" w:rsidRPr="008E6D8E" w:rsidRDefault="000013FD" w:rsidP="000013FD">
            <w:pPr>
              <w:pStyle w:val="NoSpacing"/>
              <w:ind w:left="459"/>
            </w:pPr>
            <w:r w:rsidRPr="008E6D8E">
              <w:t xml:space="preserve">17,824 </w:t>
            </w:r>
          </w:p>
        </w:tc>
      </w:tr>
      <w:tr w:rsidR="000013FD" w14:paraId="32797814" w14:textId="77777777" w:rsidTr="00FB67C4">
        <w:tc>
          <w:tcPr>
            <w:tcW w:w="2930" w:type="dxa"/>
          </w:tcPr>
          <w:p w14:paraId="313A4250" w14:textId="77777777" w:rsidR="000013FD" w:rsidRPr="008E6D8E" w:rsidRDefault="000013FD" w:rsidP="000013FD">
            <w:pPr>
              <w:pStyle w:val="NoSpacing"/>
              <w:ind w:left="160"/>
            </w:pPr>
            <w:r w:rsidRPr="008E6D8E">
              <w:t xml:space="preserve">Wyre </w:t>
            </w:r>
          </w:p>
        </w:tc>
        <w:tc>
          <w:tcPr>
            <w:tcW w:w="1732" w:type="dxa"/>
          </w:tcPr>
          <w:p w14:paraId="230EBBC6" w14:textId="77777777" w:rsidR="000013FD" w:rsidRPr="008E6D8E" w:rsidRDefault="000013FD" w:rsidP="000013FD">
            <w:pPr>
              <w:pStyle w:val="NoSpacing"/>
              <w:ind w:left="720" w:hanging="514"/>
              <w:jc w:val="center"/>
            </w:pPr>
            <w:r w:rsidRPr="008E6D8E">
              <w:t>148,302</w:t>
            </w:r>
          </w:p>
        </w:tc>
        <w:tc>
          <w:tcPr>
            <w:tcW w:w="1984" w:type="dxa"/>
          </w:tcPr>
          <w:p w14:paraId="07466410" w14:textId="77777777" w:rsidR="000013FD" w:rsidRPr="008E6D8E" w:rsidRDefault="000013FD" w:rsidP="000013FD">
            <w:pPr>
              <w:pStyle w:val="NoSpacing"/>
              <w:ind w:left="459"/>
            </w:pPr>
            <w:r w:rsidRPr="008E6D8E">
              <w:t xml:space="preserve">21,853 </w:t>
            </w:r>
          </w:p>
        </w:tc>
      </w:tr>
      <w:tr w:rsidR="000013FD" w14:paraId="292B531F" w14:textId="77777777" w:rsidTr="00FB67C4">
        <w:tc>
          <w:tcPr>
            <w:tcW w:w="2930" w:type="dxa"/>
          </w:tcPr>
          <w:p w14:paraId="79006EEE" w14:textId="77777777" w:rsidR="000013FD" w:rsidRDefault="000013FD" w:rsidP="000013FD">
            <w:pPr>
              <w:pStyle w:val="NoSpacing"/>
              <w:ind w:left="160"/>
            </w:pPr>
          </w:p>
        </w:tc>
        <w:tc>
          <w:tcPr>
            <w:tcW w:w="1732" w:type="dxa"/>
          </w:tcPr>
          <w:p w14:paraId="20AC8E3C" w14:textId="77777777" w:rsidR="000013FD" w:rsidRDefault="000013FD" w:rsidP="000013FD">
            <w:pPr>
              <w:pStyle w:val="NoSpacing"/>
              <w:ind w:hanging="514"/>
              <w:jc w:val="center"/>
            </w:pPr>
          </w:p>
        </w:tc>
        <w:tc>
          <w:tcPr>
            <w:tcW w:w="1984" w:type="dxa"/>
          </w:tcPr>
          <w:p w14:paraId="16D94B52" w14:textId="77777777" w:rsidR="000013FD" w:rsidRDefault="000013FD" w:rsidP="000013FD">
            <w:pPr>
              <w:pStyle w:val="NoSpacing"/>
              <w:ind w:left="459"/>
            </w:pPr>
          </w:p>
        </w:tc>
      </w:tr>
      <w:tr w:rsidR="000013FD" w14:paraId="12063580" w14:textId="77777777" w:rsidTr="00FB67C4">
        <w:trPr>
          <w:trHeight w:val="404"/>
        </w:trPr>
        <w:tc>
          <w:tcPr>
            <w:tcW w:w="2930" w:type="dxa"/>
          </w:tcPr>
          <w:p w14:paraId="7E2086ED" w14:textId="77777777" w:rsidR="000013FD" w:rsidRPr="000013FD" w:rsidRDefault="000013FD" w:rsidP="000013FD">
            <w:pPr>
              <w:pStyle w:val="NoSpacing"/>
              <w:ind w:left="160"/>
              <w:rPr>
                <w:b/>
              </w:rPr>
            </w:pPr>
            <w:r w:rsidRPr="000013FD">
              <w:rPr>
                <w:b/>
              </w:rPr>
              <w:t>Total</w:t>
            </w:r>
          </w:p>
        </w:tc>
        <w:tc>
          <w:tcPr>
            <w:tcW w:w="1732" w:type="dxa"/>
          </w:tcPr>
          <w:p w14:paraId="40E53AEB" w14:textId="77777777" w:rsidR="000013FD" w:rsidRDefault="000013FD" w:rsidP="000013FD">
            <w:pPr>
              <w:pStyle w:val="NoSpacing"/>
              <w:ind w:hanging="514"/>
              <w:jc w:val="center"/>
            </w:pPr>
            <w:r>
              <w:rPr>
                <w:b/>
                <w:bCs/>
              </w:rPr>
              <w:t xml:space="preserve">         </w:t>
            </w:r>
            <w:r w:rsidRPr="008E6D8E">
              <w:rPr>
                <w:b/>
                <w:bCs/>
              </w:rPr>
              <w:t>2,714,515</w:t>
            </w:r>
          </w:p>
        </w:tc>
        <w:tc>
          <w:tcPr>
            <w:tcW w:w="1984" w:type="dxa"/>
          </w:tcPr>
          <w:p w14:paraId="351216EC" w14:textId="77777777" w:rsidR="000013FD" w:rsidRDefault="000013FD" w:rsidP="000013FD">
            <w:pPr>
              <w:pStyle w:val="NoSpacing"/>
              <w:ind w:left="459"/>
            </w:pPr>
            <w:r w:rsidRPr="008E6D8E">
              <w:rPr>
                <w:b/>
                <w:bCs/>
              </w:rPr>
              <w:t>400,000</w:t>
            </w:r>
          </w:p>
        </w:tc>
      </w:tr>
    </w:tbl>
    <w:p w14:paraId="133F3A35" w14:textId="77777777" w:rsidR="008E6D8E" w:rsidRPr="00133F2E" w:rsidRDefault="008E6D8E" w:rsidP="00E120B8">
      <w:pPr>
        <w:pStyle w:val="NoSpacing"/>
        <w:ind w:left="720"/>
      </w:pPr>
    </w:p>
    <w:p w14:paraId="7BA8BA66" w14:textId="77777777" w:rsidR="00FE68AA" w:rsidRDefault="00FE68AA" w:rsidP="00FE68AA">
      <w:pPr>
        <w:pStyle w:val="NoSpacing"/>
        <w:numPr>
          <w:ilvl w:val="0"/>
          <w:numId w:val="8"/>
        </w:numPr>
      </w:pPr>
      <w:r>
        <w:lastRenderedPageBreak/>
        <w:t xml:space="preserve">This proposal is a one-off and a bidding process is being set up for accessing pooled monies from the SEGFS fund of the 2019/20 Lancashire Business rates pilot in the future.  </w:t>
      </w:r>
    </w:p>
    <w:p w14:paraId="1303CF46" w14:textId="77777777" w:rsidR="002C43CF" w:rsidRDefault="002C43CF" w:rsidP="00396828">
      <w:pPr>
        <w:pStyle w:val="NoSpacing"/>
        <w:ind w:left="720"/>
      </w:pPr>
    </w:p>
    <w:p w14:paraId="1433596B" w14:textId="77777777" w:rsidR="007A0801" w:rsidRPr="000828CC" w:rsidRDefault="001A24F9" w:rsidP="002C71DE">
      <w:pPr>
        <w:rPr>
          <w:rFonts w:cs="Arial"/>
          <w:b/>
        </w:rPr>
      </w:pPr>
      <w:r w:rsidRPr="000828CC">
        <w:rPr>
          <w:rFonts w:cs="Arial"/>
          <w:b/>
        </w:rPr>
        <w:t>CONSULTATION CARRIED</w:t>
      </w:r>
      <w:r w:rsidR="007A0801" w:rsidRPr="000828CC">
        <w:rPr>
          <w:rFonts w:cs="Arial"/>
          <w:b/>
        </w:rPr>
        <w:t xml:space="preserve"> OUT AND OUTCOME OF CONSULTATION</w:t>
      </w:r>
    </w:p>
    <w:p w14:paraId="10FA1F10" w14:textId="77777777" w:rsidR="007A0801" w:rsidRPr="000828CC" w:rsidRDefault="007A0801" w:rsidP="007A0801">
      <w:pPr>
        <w:ind w:left="567"/>
        <w:rPr>
          <w:rFonts w:cs="Arial"/>
          <w:b/>
        </w:rPr>
      </w:pPr>
    </w:p>
    <w:p w14:paraId="66865D56" w14:textId="77777777" w:rsidR="001A24F9" w:rsidRPr="00B52F54" w:rsidRDefault="00B52F54" w:rsidP="00FE68AA">
      <w:pPr>
        <w:pStyle w:val="ListParagraph"/>
        <w:numPr>
          <w:ilvl w:val="0"/>
          <w:numId w:val="8"/>
        </w:numPr>
        <w:rPr>
          <w:rFonts w:ascii="Arial" w:hAnsi="Arial" w:cs="Arial"/>
          <w:b/>
        </w:rPr>
      </w:pPr>
      <w:r w:rsidRPr="00B52F54">
        <w:rPr>
          <w:rFonts w:ascii="Arial" w:hAnsi="Arial" w:cs="Arial"/>
        </w:rPr>
        <w:t>There has been no formal consultation.</w:t>
      </w:r>
    </w:p>
    <w:p w14:paraId="4BB792BE" w14:textId="77777777" w:rsidR="001A24F9" w:rsidRPr="000828CC" w:rsidRDefault="001A24F9" w:rsidP="001A24F9">
      <w:pPr>
        <w:ind w:left="360"/>
        <w:rPr>
          <w:rFonts w:cs="Arial"/>
          <w:b/>
          <w:color w:val="2E74B5" w:themeColor="accent1" w:themeShade="BF"/>
        </w:rPr>
      </w:pPr>
    </w:p>
    <w:p w14:paraId="5C856F71" w14:textId="77777777" w:rsidR="001A24F9" w:rsidRPr="000828CC" w:rsidRDefault="008770BE" w:rsidP="002C71DE">
      <w:pPr>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14:paraId="06113BE3" w14:textId="77777777" w:rsidR="007A0801" w:rsidRPr="000828CC" w:rsidRDefault="007A0801" w:rsidP="007A0801">
      <w:pPr>
        <w:ind w:left="567"/>
        <w:rPr>
          <w:rFonts w:cs="Arial"/>
          <w:b/>
        </w:rPr>
      </w:pPr>
    </w:p>
    <w:p w14:paraId="5E333447" w14:textId="77777777" w:rsidR="001A24F9" w:rsidRPr="00B52F54" w:rsidRDefault="00B52F54" w:rsidP="00FE68AA">
      <w:pPr>
        <w:pStyle w:val="ListParagraph"/>
        <w:numPr>
          <w:ilvl w:val="0"/>
          <w:numId w:val="8"/>
        </w:numPr>
        <w:rPr>
          <w:rFonts w:ascii="Arial" w:hAnsi="Arial" w:cs="Arial"/>
          <w:b/>
        </w:rPr>
      </w:pPr>
      <w:r w:rsidRPr="00B52F54">
        <w:rPr>
          <w:rFonts w:ascii="Arial" w:hAnsi="Arial" w:cs="Arial"/>
        </w:rPr>
        <w:t xml:space="preserve">The Executive Body considered Option 1, but </w:t>
      </w:r>
      <w:r>
        <w:rPr>
          <w:rFonts w:ascii="Arial" w:hAnsi="Arial" w:cs="Arial"/>
        </w:rPr>
        <w:t xml:space="preserve">the collective view was that this was outside the current pooling arrangements for the </w:t>
      </w:r>
      <w:r w:rsidRPr="00B52F54">
        <w:rPr>
          <w:rFonts w:ascii="Arial" w:hAnsi="Arial" w:cs="Arial"/>
        </w:rPr>
        <w:t>Strategic Economic Growth and Financial Sustainability</w:t>
      </w:r>
      <w:r w:rsidRPr="00B52F54">
        <w:rPr>
          <w:rFonts w:ascii="Arial" w:hAnsi="Arial" w:cs="Arial"/>
          <w:i/>
        </w:rPr>
        <w:t xml:space="preserve"> </w:t>
      </w:r>
      <w:r w:rsidRPr="00B52F54">
        <w:rPr>
          <w:rFonts w:ascii="Arial" w:hAnsi="Arial" w:cs="Arial"/>
        </w:rPr>
        <w:t>Fund</w:t>
      </w:r>
      <w:r>
        <w:rPr>
          <w:rFonts w:ascii="Arial" w:hAnsi="Arial" w:cs="Arial"/>
        </w:rPr>
        <w:t>.</w:t>
      </w:r>
      <w:r w:rsidRPr="00B52F54">
        <w:rPr>
          <w:rFonts w:ascii="Arial" w:hAnsi="Arial" w:cs="Arial"/>
        </w:rPr>
        <w:t xml:space="preserve"> </w:t>
      </w:r>
    </w:p>
    <w:p w14:paraId="6D696633" w14:textId="77777777" w:rsidR="001A24F9" w:rsidRPr="000828CC" w:rsidRDefault="001A24F9" w:rsidP="001A24F9">
      <w:pPr>
        <w:rPr>
          <w:rFonts w:cs="Arial"/>
          <w:b/>
        </w:rPr>
      </w:pPr>
    </w:p>
    <w:p w14:paraId="7F82ADA2" w14:textId="77777777" w:rsidR="001A24F9" w:rsidRPr="008B0104" w:rsidRDefault="001A24F9" w:rsidP="002C71DE">
      <w:pPr>
        <w:rPr>
          <w:rFonts w:cs="Arial"/>
          <w:b/>
          <w:caps/>
        </w:rPr>
      </w:pPr>
      <w:r w:rsidRPr="000828CC">
        <w:rPr>
          <w:rFonts w:cs="Arial"/>
          <w:b/>
          <w:caps/>
        </w:rPr>
        <w:t>Financial implications</w:t>
      </w:r>
    </w:p>
    <w:p w14:paraId="534C0A79" w14:textId="77777777" w:rsidR="007A0801" w:rsidRPr="008B0104" w:rsidRDefault="007A0801" w:rsidP="007A0801">
      <w:pPr>
        <w:ind w:left="567"/>
        <w:rPr>
          <w:rFonts w:cs="Arial"/>
          <w:b/>
          <w:caps/>
        </w:rPr>
      </w:pPr>
    </w:p>
    <w:p w14:paraId="273AB015" w14:textId="77777777" w:rsidR="008B0104" w:rsidRPr="008B0104" w:rsidRDefault="008B0104" w:rsidP="00FE68AA">
      <w:pPr>
        <w:pStyle w:val="ListParagraph"/>
        <w:numPr>
          <w:ilvl w:val="0"/>
          <w:numId w:val="8"/>
        </w:numPr>
        <w:spacing w:after="0"/>
        <w:rPr>
          <w:rFonts w:ascii="Arial" w:hAnsi="Arial" w:cs="Arial"/>
          <w:b/>
        </w:rPr>
      </w:pPr>
      <w:r w:rsidRPr="008B0104">
        <w:rPr>
          <w:rFonts w:ascii="Arial" w:hAnsi="Arial" w:cs="Arial"/>
        </w:rPr>
        <w:t xml:space="preserve">The £36,012 </w:t>
      </w:r>
      <w:r>
        <w:rPr>
          <w:rFonts w:ascii="Arial" w:hAnsi="Arial" w:cs="Arial"/>
        </w:rPr>
        <w:t xml:space="preserve">advance payment </w:t>
      </w:r>
      <w:r w:rsidRPr="008B0104">
        <w:rPr>
          <w:rFonts w:ascii="Arial" w:hAnsi="Arial" w:cs="Arial"/>
        </w:rPr>
        <w:t>can be funded in 2019/20 fr</w:t>
      </w:r>
      <w:r w:rsidR="002C43CF">
        <w:rPr>
          <w:rFonts w:ascii="Arial" w:hAnsi="Arial" w:cs="Arial"/>
        </w:rPr>
        <w:t>o</w:t>
      </w:r>
      <w:r w:rsidRPr="008B0104">
        <w:rPr>
          <w:rFonts w:ascii="Arial" w:hAnsi="Arial" w:cs="Arial"/>
        </w:rPr>
        <w:t xml:space="preserve">m the Business Rate Retention </w:t>
      </w:r>
      <w:r w:rsidR="00EF3B6C" w:rsidRPr="008B0104">
        <w:rPr>
          <w:rFonts w:ascii="Arial" w:hAnsi="Arial" w:cs="Arial"/>
        </w:rPr>
        <w:t>Re</w:t>
      </w:r>
      <w:r w:rsidRPr="008B0104">
        <w:rPr>
          <w:rFonts w:ascii="Arial" w:hAnsi="Arial" w:cs="Arial"/>
        </w:rPr>
        <w:t xml:space="preserve">serve. </w:t>
      </w:r>
    </w:p>
    <w:p w14:paraId="1181CD3B" w14:textId="77777777" w:rsidR="008B0104" w:rsidRPr="008B0104" w:rsidRDefault="008B0104" w:rsidP="008B0104">
      <w:pPr>
        <w:ind w:left="720"/>
        <w:rPr>
          <w:rFonts w:cs="Arial"/>
          <w:b/>
        </w:rPr>
      </w:pPr>
    </w:p>
    <w:p w14:paraId="3BAAFB5E" w14:textId="77777777" w:rsidR="008B0104" w:rsidRPr="00962200" w:rsidRDefault="008B0104" w:rsidP="00FE68AA">
      <w:pPr>
        <w:pStyle w:val="ListParagraph"/>
        <w:numPr>
          <w:ilvl w:val="0"/>
          <w:numId w:val="8"/>
        </w:numPr>
        <w:spacing w:after="0"/>
        <w:rPr>
          <w:rFonts w:ascii="Arial" w:hAnsi="Arial" w:cs="Arial"/>
          <w:b/>
        </w:rPr>
      </w:pPr>
      <w:r w:rsidRPr="008B0104">
        <w:rPr>
          <w:rFonts w:ascii="Arial" w:hAnsi="Arial" w:cs="Arial"/>
        </w:rPr>
        <w:t xml:space="preserve">At the end of the financial year, the council will complete the annual business rates return (NNDR3) which will be the basis for the calculation of the council’s </w:t>
      </w:r>
      <w:r>
        <w:rPr>
          <w:rFonts w:ascii="Arial" w:hAnsi="Arial" w:cs="Arial"/>
        </w:rPr>
        <w:t xml:space="preserve">actual </w:t>
      </w:r>
      <w:r w:rsidRPr="008B0104">
        <w:rPr>
          <w:rFonts w:ascii="Arial" w:hAnsi="Arial" w:cs="Arial"/>
        </w:rPr>
        <w:t>share of business rates income</w:t>
      </w:r>
      <w:r>
        <w:rPr>
          <w:rFonts w:ascii="Arial" w:hAnsi="Arial" w:cs="Arial"/>
        </w:rPr>
        <w:t xml:space="preserve"> including </w:t>
      </w:r>
      <w:r w:rsidRPr="008B0104">
        <w:rPr>
          <w:rFonts w:ascii="Arial" w:hAnsi="Arial" w:cs="Arial"/>
        </w:rPr>
        <w:t xml:space="preserve">growth retained and </w:t>
      </w:r>
      <w:r w:rsidR="00F37D84">
        <w:rPr>
          <w:rFonts w:ascii="Arial" w:hAnsi="Arial" w:cs="Arial"/>
        </w:rPr>
        <w:t xml:space="preserve">also </w:t>
      </w:r>
      <w:r w:rsidR="00B22DE3">
        <w:rPr>
          <w:rFonts w:ascii="Arial" w:hAnsi="Arial" w:cs="Arial"/>
        </w:rPr>
        <w:t xml:space="preserve">the proportion of </w:t>
      </w:r>
      <w:r w:rsidRPr="008B0104">
        <w:rPr>
          <w:rFonts w:ascii="Arial" w:hAnsi="Arial" w:cs="Arial"/>
        </w:rPr>
        <w:t xml:space="preserve">growth </w:t>
      </w:r>
      <w:r w:rsidR="00B22DE3">
        <w:rPr>
          <w:rFonts w:ascii="Arial" w:hAnsi="Arial" w:cs="Arial"/>
        </w:rPr>
        <w:t xml:space="preserve">due to be </w:t>
      </w:r>
      <w:r w:rsidRPr="008B0104">
        <w:rPr>
          <w:rFonts w:ascii="Arial" w:hAnsi="Arial" w:cs="Arial"/>
        </w:rPr>
        <w:t>paid into the Strategic Economic Growth and Financial Sustainability</w:t>
      </w:r>
      <w:r w:rsidRPr="008B0104">
        <w:rPr>
          <w:rFonts w:ascii="Arial" w:hAnsi="Arial" w:cs="Arial"/>
          <w:i/>
        </w:rPr>
        <w:t xml:space="preserve"> </w:t>
      </w:r>
      <w:r w:rsidRPr="008B0104">
        <w:rPr>
          <w:rFonts w:ascii="Arial" w:hAnsi="Arial" w:cs="Arial"/>
        </w:rPr>
        <w:t>Fund</w:t>
      </w:r>
      <w:r w:rsidR="00F37D84">
        <w:rPr>
          <w:rFonts w:ascii="Arial" w:hAnsi="Arial" w:cs="Arial"/>
        </w:rPr>
        <w:t>.</w:t>
      </w:r>
      <w:r w:rsidR="007944D1">
        <w:rPr>
          <w:rFonts w:ascii="Arial" w:hAnsi="Arial" w:cs="Arial"/>
        </w:rPr>
        <w:t xml:space="preserve"> This is </w:t>
      </w:r>
      <w:r w:rsidRPr="008B0104">
        <w:rPr>
          <w:rFonts w:ascii="Arial" w:hAnsi="Arial" w:cs="Arial"/>
        </w:rPr>
        <w:t xml:space="preserve">in </w:t>
      </w:r>
      <w:r w:rsidR="00B22DE3">
        <w:rPr>
          <w:rFonts w:ascii="Arial" w:hAnsi="Arial" w:cs="Arial"/>
        </w:rPr>
        <w:t xml:space="preserve">compliance with </w:t>
      </w:r>
      <w:r w:rsidRPr="008B0104">
        <w:rPr>
          <w:rFonts w:ascii="Arial" w:hAnsi="Arial" w:cs="Arial"/>
        </w:rPr>
        <w:t xml:space="preserve">the agreed business rate pooling arrangements. </w:t>
      </w:r>
    </w:p>
    <w:p w14:paraId="297A2210" w14:textId="77777777" w:rsidR="00962200" w:rsidRPr="00962200" w:rsidRDefault="00962200" w:rsidP="00962200">
      <w:pPr>
        <w:pStyle w:val="ListParagraph"/>
        <w:rPr>
          <w:rFonts w:ascii="Arial" w:hAnsi="Arial" w:cs="Arial"/>
          <w:b/>
        </w:rPr>
      </w:pPr>
    </w:p>
    <w:p w14:paraId="4D797C47" w14:textId="77777777" w:rsidR="00962200" w:rsidRPr="00962200" w:rsidRDefault="00962200" w:rsidP="00FE68AA">
      <w:pPr>
        <w:pStyle w:val="ListParagraph"/>
        <w:numPr>
          <w:ilvl w:val="0"/>
          <w:numId w:val="8"/>
        </w:numPr>
        <w:spacing w:after="0"/>
        <w:rPr>
          <w:rFonts w:ascii="Arial" w:hAnsi="Arial" w:cs="Arial"/>
        </w:rPr>
      </w:pPr>
      <w:r w:rsidRPr="00962200">
        <w:rPr>
          <w:rFonts w:ascii="Arial" w:hAnsi="Arial" w:cs="Arial"/>
        </w:rPr>
        <w:t>It is pr</w:t>
      </w:r>
      <w:r>
        <w:rPr>
          <w:rFonts w:ascii="Arial" w:hAnsi="Arial" w:cs="Arial"/>
        </w:rPr>
        <w:t>o</w:t>
      </w:r>
      <w:r w:rsidRPr="00962200">
        <w:rPr>
          <w:rFonts w:ascii="Arial" w:hAnsi="Arial" w:cs="Arial"/>
        </w:rPr>
        <w:t xml:space="preserve">posed </w:t>
      </w:r>
      <w:r>
        <w:rPr>
          <w:rFonts w:ascii="Arial" w:hAnsi="Arial" w:cs="Arial"/>
        </w:rPr>
        <w:t xml:space="preserve">by the Lancashire BR Pool Executive body that </w:t>
      </w:r>
      <w:r w:rsidRPr="00962200">
        <w:rPr>
          <w:rFonts w:ascii="Arial" w:hAnsi="Arial" w:cs="Arial"/>
        </w:rPr>
        <w:t xml:space="preserve">an adjustment is </w:t>
      </w:r>
      <w:r>
        <w:rPr>
          <w:rFonts w:ascii="Arial" w:hAnsi="Arial" w:cs="Arial"/>
        </w:rPr>
        <w:t>carried out at the end of the year with regard to the advance payments requested.</w:t>
      </w:r>
      <w:r w:rsidRPr="00962200">
        <w:rPr>
          <w:rFonts w:ascii="Arial" w:hAnsi="Arial" w:cs="Arial"/>
        </w:rPr>
        <w:t xml:space="preserve"> </w:t>
      </w:r>
    </w:p>
    <w:p w14:paraId="48A1A009" w14:textId="77777777" w:rsidR="008B0104" w:rsidRPr="008B0104" w:rsidRDefault="008B0104" w:rsidP="008B0104">
      <w:pPr>
        <w:ind w:left="720"/>
        <w:rPr>
          <w:rFonts w:cs="Arial"/>
          <w:b/>
        </w:rPr>
      </w:pPr>
    </w:p>
    <w:p w14:paraId="7B8556DA" w14:textId="77777777" w:rsidR="007A0801" w:rsidRPr="008B0104" w:rsidRDefault="007A0801" w:rsidP="002C71DE">
      <w:pPr>
        <w:rPr>
          <w:rFonts w:cs="Arial"/>
          <w:b/>
          <w:caps/>
        </w:rPr>
      </w:pPr>
      <w:r w:rsidRPr="008B0104">
        <w:rPr>
          <w:rFonts w:cs="Arial"/>
          <w:b/>
          <w:caps/>
        </w:rPr>
        <w:t>LEGAL IMPLICATIONS</w:t>
      </w:r>
    </w:p>
    <w:p w14:paraId="4561E461" w14:textId="77777777" w:rsidR="007A0801" w:rsidRPr="008B0104" w:rsidRDefault="007A0801" w:rsidP="007A0801">
      <w:pPr>
        <w:rPr>
          <w:rFonts w:cs="Arial"/>
          <w:b/>
          <w:caps/>
        </w:rPr>
      </w:pPr>
    </w:p>
    <w:p w14:paraId="57832864" w14:textId="77777777" w:rsidR="00EF3B6C" w:rsidRPr="00396828" w:rsidRDefault="002C43CF" w:rsidP="00FE68AA">
      <w:pPr>
        <w:pStyle w:val="ListParagraph"/>
        <w:numPr>
          <w:ilvl w:val="0"/>
          <w:numId w:val="8"/>
        </w:numPr>
        <w:rPr>
          <w:rFonts w:ascii="Arial" w:hAnsi="Arial" w:cs="Arial"/>
          <w:caps/>
        </w:rPr>
      </w:pPr>
      <w:r w:rsidRPr="00396828">
        <w:rPr>
          <w:rFonts w:ascii="Arial" w:hAnsi="Arial" w:cs="Arial"/>
        </w:rPr>
        <w:t>Clearly some kind of agreement/contract will need to be entered into setting out clearly the terms on which the advance payment of £36,012 will be made. Subject to this there are no legal concerns.</w:t>
      </w:r>
    </w:p>
    <w:p w14:paraId="5DB16549" w14:textId="77777777" w:rsidR="002C71DE" w:rsidRDefault="002C71DE" w:rsidP="002C71DE">
      <w:pPr>
        <w:rPr>
          <w:rFonts w:cs="Arial"/>
          <w:b/>
          <w:caps/>
        </w:rPr>
      </w:pPr>
      <w:r w:rsidRPr="002C71DE">
        <w:rPr>
          <w:rFonts w:cs="Arial"/>
          <w:b/>
          <w:caps/>
        </w:rPr>
        <w:t>AIR QUALITY IMPLICATIONS</w:t>
      </w:r>
    </w:p>
    <w:p w14:paraId="79877D01" w14:textId="77777777" w:rsidR="002C71DE" w:rsidRDefault="002C71DE" w:rsidP="002C71DE">
      <w:pPr>
        <w:rPr>
          <w:rFonts w:cs="Arial"/>
          <w:b/>
          <w:caps/>
        </w:rPr>
      </w:pPr>
    </w:p>
    <w:p w14:paraId="5DD3873F" w14:textId="77777777" w:rsidR="002C71DE" w:rsidRPr="00B52F54" w:rsidRDefault="00B52F54" w:rsidP="00FE68AA">
      <w:pPr>
        <w:pStyle w:val="ListParagraph"/>
        <w:numPr>
          <w:ilvl w:val="0"/>
          <w:numId w:val="8"/>
        </w:numPr>
        <w:rPr>
          <w:rFonts w:ascii="Arial" w:hAnsi="Arial" w:cs="Arial"/>
          <w:caps/>
        </w:rPr>
      </w:pPr>
      <w:r w:rsidRPr="00B52F54">
        <w:rPr>
          <w:rFonts w:ascii="Arial" w:hAnsi="Arial" w:cs="Arial"/>
        </w:rPr>
        <w:t>There are no direct air quality implications as a result of this decision.</w:t>
      </w:r>
    </w:p>
    <w:p w14:paraId="16F86DB5" w14:textId="77777777" w:rsidR="007A0801" w:rsidRPr="007A0801" w:rsidRDefault="007A0801" w:rsidP="007A0801">
      <w:pPr>
        <w:rPr>
          <w:rFonts w:cs="Arial"/>
          <w:caps/>
        </w:rPr>
      </w:pPr>
    </w:p>
    <w:p w14:paraId="539568DB" w14:textId="77777777" w:rsidR="001A24F9" w:rsidRDefault="001A24F9" w:rsidP="002C71DE">
      <w:pPr>
        <w:rPr>
          <w:rFonts w:cs="Arial"/>
          <w:b/>
          <w:caps/>
        </w:rPr>
      </w:pPr>
      <w:r w:rsidRPr="00491976">
        <w:rPr>
          <w:rFonts w:cs="Arial"/>
          <w:b/>
          <w:caps/>
        </w:rPr>
        <w:t>Human Resources and Organisational Development implications</w:t>
      </w:r>
    </w:p>
    <w:p w14:paraId="25E48AED" w14:textId="77777777" w:rsidR="007A0801" w:rsidRDefault="007A0801" w:rsidP="007A0801">
      <w:pPr>
        <w:ind w:left="567"/>
        <w:rPr>
          <w:rFonts w:cs="Arial"/>
          <w:b/>
          <w:caps/>
        </w:rPr>
      </w:pPr>
    </w:p>
    <w:p w14:paraId="4BB2791E" w14:textId="77777777" w:rsidR="001A24F9" w:rsidRPr="008B0104" w:rsidRDefault="00B52F54" w:rsidP="00FE68AA">
      <w:pPr>
        <w:pStyle w:val="ListParagraph"/>
        <w:numPr>
          <w:ilvl w:val="0"/>
          <w:numId w:val="8"/>
        </w:numPr>
        <w:rPr>
          <w:rFonts w:ascii="Arial" w:hAnsi="Arial" w:cs="Arial"/>
          <w:b/>
          <w:caps/>
        </w:rPr>
      </w:pPr>
      <w:r w:rsidRPr="008B0104">
        <w:rPr>
          <w:rFonts w:ascii="Arial" w:hAnsi="Arial" w:cs="Arial"/>
        </w:rPr>
        <w:t>There are none.</w:t>
      </w:r>
    </w:p>
    <w:p w14:paraId="18DD57A1" w14:textId="77777777" w:rsidR="001A24F9" w:rsidRPr="008B0104" w:rsidRDefault="001A24F9" w:rsidP="001A24F9">
      <w:pPr>
        <w:rPr>
          <w:rFonts w:cs="Arial"/>
          <w:b/>
        </w:rPr>
      </w:pPr>
    </w:p>
    <w:p w14:paraId="7E778C42" w14:textId="77777777" w:rsidR="001A24F9" w:rsidRPr="008B0104" w:rsidRDefault="001A24F9" w:rsidP="002C71DE">
      <w:pPr>
        <w:rPr>
          <w:rFonts w:cs="Arial"/>
          <w:b/>
          <w:caps/>
        </w:rPr>
      </w:pPr>
      <w:r w:rsidRPr="008B0104">
        <w:rPr>
          <w:rFonts w:cs="Arial"/>
          <w:b/>
          <w:caps/>
        </w:rPr>
        <w:t>ICT/technology implications</w:t>
      </w:r>
    </w:p>
    <w:p w14:paraId="4B4CB8D6" w14:textId="77777777" w:rsidR="00911FD5" w:rsidRPr="008B0104" w:rsidRDefault="00911FD5" w:rsidP="00911FD5">
      <w:pPr>
        <w:ind w:left="567"/>
        <w:rPr>
          <w:rFonts w:cs="Arial"/>
          <w:b/>
          <w:caps/>
        </w:rPr>
      </w:pPr>
    </w:p>
    <w:p w14:paraId="595BC321" w14:textId="77777777" w:rsidR="001A24F9" w:rsidRPr="008B0104" w:rsidRDefault="00B52F54" w:rsidP="00FE68AA">
      <w:pPr>
        <w:pStyle w:val="ListParagraph"/>
        <w:numPr>
          <w:ilvl w:val="0"/>
          <w:numId w:val="8"/>
        </w:numPr>
        <w:rPr>
          <w:rFonts w:ascii="Arial" w:hAnsi="Arial" w:cs="Arial"/>
          <w:caps/>
        </w:rPr>
      </w:pPr>
      <w:r w:rsidRPr="008B0104">
        <w:rPr>
          <w:rFonts w:ascii="Arial" w:hAnsi="Arial" w:cs="Arial"/>
        </w:rPr>
        <w:t>There are none.</w:t>
      </w:r>
    </w:p>
    <w:p w14:paraId="3059BD94" w14:textId="77777777" w:rsidR="001A24F9" w:rsidRPr="008B0104" w:rsidRDefault="001A24F9" w:rsidP="001A24F9">
      <w:pPr>
        <w:rPr>
          <w:rFonts w:cs="Arial"/>
          <w:b/>
        </w:rPr>
      </w:pPr>
    </w:p>
    <w:p w14:paraId="7DCAA284" w14:textId="77777777" w:rsidR="001A24F9" w:rsidRPr="008B0104" w:rsidRDefault="001A24F9" w:rsidP="002C71DE">
      <w:pPr>
        <w:rPr>
          <w:rFonts w:cs="Arial"/>
          <w:b/>
          <w:caps/>
        </w:rPr>
      </w:pPr>
      <w:r w:rsidRPr="008B0104">
        <w:rPr>
          <w:rFonts w:cs="Arial"/>
          <w:b/>
          <w:caps/>
        </w:rPr>
        <w:t>Property and Asset Management implications</w:t>
      </w:r>
    </w:p>
    <w:p w14:paraId="61C9944B" w14:textId="77777777" w:rsidR="00911FD5" w:rsidRPr="008B0104" w:rsidRDefault="00911FD5" w:rsidP="00911FD5">
      <w:pPr>
        <w:ind w:left="567"/>
        <w:rPr>
          <w:rFonts w:cs="Arial"/>
          <w:b/>
          <w:caps/>
        </w:rPr>
      </w:pPr>
    </w:p>
    <w:p w14:paraId="0D4AE248" w14:textId="77777777" w:rsidR="001A24F9" w:rsidRPr="008B0104" w:rsidRDefault="00B52F54" w:rsidP="00FE68AA">
      <w:pPr>
        <w:pStyle w:val="ListParagraph"/>
        <w:numPr>
          <w:ilvl w:val="0"/>
          <w:numId w:val="8"/>
        </w:numPr>
        <w:rPr>
          <w:rFonts w:ascii="Arial" w:hAnsi="Arial" w:cs="Arial"/>
          <w:b/>
          <w:caps/>
        </w:rPr>
      </w:pPr>
      <w:r w:rsidRPr="008B0104">
        <w:rPr>
          <w:rFonts w:ascii="Arial" w:hAnsi="Arial" w:cs="Arial"/>
        </w:rPr>
        <w:t>There are none.</w:t>
      </w:r>
    </w:p>
    <w:p w14:paraId="0CD7A041" w14:textId="77777777" w:rsidR="009063C4" w:rsidRPr="00B52F54" w:rsidRDefault="009063C4" w:rsidP="002C71DE">
      <w:pPr>
        <w:rPr>
          <w:rFonts w:cs="Arial"/>
          <w:b/>
        </w:rPr>
      </w:pPr>
    </w:p>
    <w:p w14:paraId="472B84A7" w14:textId="77777777" w:rsidR="001A24F9" w:rsidRDefault="001A24F9" w:rsidP="002C71DE">
      <w:pPr>
        <w:rPr>
          <w:rFonts w:cs="Arial"/>
          <w:b/>
        </w:rPr>
      </w:pPr>
      <w:r>
        <w:rPr>
          <w:rFonts w:cs="Arial"/>
          <w:b/>
        </w:rPr>
        <w:t>RISK MANAGEMENT</w:t>
      </w:r>
    </w:p>
    <w:p w14:paraId="6B8CC67E" w14:textId="77777777" w:rsidR="00911FD5" w:rsidRDefault="00911FD5" w:rsidP="00911FD5">
      <w:pPr>
        <w:ind w:left="567"/>
        <w:rPr>
          <w:rFonts w:cs="Arial"/>
          <w:b/>
        </w:rPr>
      </w:pPr>
    </w:p>
    <w:p w14:paraId="12A7C916" w14:textId="77777777" w:rsidR="008770BE" w:rsidRPr="00B52F54" w:rsidRDefault="00B52F54" w:rsidP="00FE68AA">
      <w:pPr>
        <w:pStyle w:val="ListParagraph"/>
        <w:numPr>
          <w:ilvl w:val="0"/>
          <w:numId w:val="8"/>
        </w:numPr>
        <w:rPr>
          <w:rFonts w:ascii="Arial" w:hAnsi="Arial" w:cs="Arial"/>
          <w:b/>
        </w:rPr>
      </w:pPr>
      <w:r w:rsidRPr="00B52F54">
        <w:rPr>
          <w:rFonts w:ascii="Arial" w:hAnsi="Arial" w:cs="Arial"/>
        </w:rPr>
        <w:t>The k</w:t>
      </w:r>
      <w:r w:rsidR="001A24F9" w:rsidRPr="00B52F54">
        <w:rPr>
          <w:rFonts w:ascii="Arial" w:hAnsi="Arial" w:cs="Arial"/>
        </w:rPr>
        <w:t xml:space="preserve">ey risks </w:t>
      </w:r>
      <w:r w:rsidRPr="00B52F54">
        <w:rPr>
          <w:rFonts w:ascii="Arial" w:hAnsi="Arial" w:cs="Arial"/>
        </w:rPr>
        <w:t>are set out in the financial implications.</w:t>
      </w:r>
    </w:p>
    <w:p w14:paraId="49DA0777" w14:textId="77777777" w:rsidR="002C71DE" w:rsidRPr="00B52F54" w:rsidRDefault="002C71DE" w:rsidP="002C71DE">
      <w:pPr>
        <w:pStyle w:val="ListParagraph"/>
        <w:ind w:left="1080"/>
        <w:rPr>
          <w:rFonts w:ascii="Arial" w:hAnsi="Arial" w:cs="Arial"/>
          <w:b/>
        </w:rPr>
      </w:pPr>
    </w:p>
    <w:p w14:paraId="4C5D3C18" w14:textId="77777777" w:rsidR="001A24F9" w:rsidRPr="00B52F54" w:rsidRDefault="001A24F9" w:rsidP="002C71DE">
      <w:pPr>
        <w:rPr>
          <w:rFonts w:cs="Arial"/>
          <w:b/>
        </w:rPr>
      </w:pPr>
      <w:r w:rsidRPr="00B52F54">
        <w:rPr>
          <w:rFonts w:cs="Arial"/>
          <w:b/>
        </w:rPr>
        <w:t>EQUALITY AND DIVERSITY IMPACT</w:t>
      </w:r>
    </w:p>
    <w:p w14:paraId="2FD732B8" w14:textId="77777777" w:rsidR="00911FD5" w:rsidRPr="00B52F54" w:rsidRDefault="00911FD5" w:rsidP="00911FD5">
      <w:pPr>
        <w:ind w:left="567"/>
        <w:rPr>
          <w:rFonts w:cs="Arial"/>
          <w:b/>
        </w:rPr>
      </w:pPr>
    </w:p>
    <w:p w14:paraId="6DC19A0D" w14:textId="77777777" w:rsidR="001A24F9" w:rsidRPr="00B52F54" w:rsidRDefault="00B52F54" w:rsidP="00FE68AA">
      <w:pPr>
        <w:pStyle w:val="ListParagraph"/>
        <w:numPr>
          <w:ilvl w:val="0"/>
          <w:numId w:val="8"/>
        </w:numPr>
        <w:rPr>
          <w:rFonts w:ascii="Arial" w:hAnsi="Arial" w:cs="Arial"/>
          <w:b/>
        </w:rPr>
      </w:pPr>
      <w:r w:rsidRPr="00B52F54">
        <w:rPr>
          <w:rFonts w:ascii="Arial" w:hAnsi="Arial" w:cs="Arial"/>
        </w:rPr>
        <w:t xml:space="preserve">There are no </w:t>
      </w:r>
      <w:r w:rsidR="001A24F9" w:rsidRPr="00B52F54">
        <w:rPr>
          <w:rFonts w:ascii="Arial" w:hAnsi="Arial" w:cs="Arial"/>
        </w:rPr>
        <w:t xml:space="preserve">Equality </w:t>
      </w:r>
      <w:r w:rsidRPr="00B52F54">
        <w:rPr>
          <w:rFonts w:ascii="Arial" w:hAnsi="Arial" w:cs="Arial"/>
        </w:rPr>
        <w:t xml:space="preserve">and Diversity </w:t>
      </w:r>
      <w:r w:rsidR="001A24F9" w:rsidRPr="00B52F54">
        <w:rPr>
          <w:rFonts w:ascii="Arial" w:hAnsi="Arial" w:cs="Arial"/>
        </w:rPr>
        <w:t>implications</w:t>
      </w:r>
      <w:r w:rsidRPr="00B52F54">
        <w:rPr>
          <w:rFonts w:ascii="Arial" w:hAnsi="Arial" w:cs="Arial"/>
        </w:rPr>
        <w:t>.</w:t>
      </w:r>
    </w:p>
    <w:p w14:paraId="373FE36D" w14:textId="77777777" w:rsidR="008770BE" w:rsidRPr="00B52F54" w:rsidRDefault="008770BE" w:rsidP="008770BE">
      <w:pPr>
        <w:ind w:left="567"/>
        <w:rPr>
          <w:rFonts w:cs="Arial"/>
          <w:b/>
        </w:rPr>
      </w:pPr>
    </w:p>
    <w:p w14:paraId="2904AC6F" w14:textId="77777777" w:rsidR="000427E0" w:rsidRDefault="001A24F9" w:rsidP="002C71DE">
      <w:pPr>
        <w:rPr>
          <w:rFonts w:cs="Arial"/>
          <w:b/>
        </w:rPr>
      </w:pPr>
      <w:r w:rsidRPr="000A68B2">
        <w:rPr>
          <w:rFonts w:cs="Arial"/>
          <w:b/>
        </w:rPr>
        <w:t>C</w:t>
      </w:r>
      <w:r>
        <w:rPr>
          <w:rFonts w:cs="Arial"/>
          <w:b/>
        </w:rPr>
        <w:t>OMMENTS OF THE STATUTORY FINANCE OFFICE</w:t>
      </w:r>
      <w:r w:rsidR="000427E0">
        <w:rPr>
          <w:rFonts w:cs="Arial"/>
          <w:b/>
        </w:rPr>
        <w:t>R</w:t>
      </w:r>
    </w:p>
    <w:p w14:paraId="3357DE04" w14:textId="77777777" w:rsidR="00911FD5" w:rsidRPr="000427E0" w:rsidRDefault="00911FD5" w:rsidP="00911FD5">
      <w:pPr>
        <w:ind w:left="567"/>
        <w:rPr>
          <w:rFonts w:cs="Arial"/>
          <w:b/>
        </w:rPr>
      </w:pPr>
    </w:p>
    <w:p w14:paraId="4CED0210" w14:textId="77777777" w:rsidR="00607A55" w:rsidRPr="00607A55" w:rsidRDefault="001A24F9" w:rsidP="00FE68AA">
      <w:pPr>
        <w:pStyle w:val="ListParagraph"/>
        <w:numPr>
          <w:ilvl w:val="0"/>
          <w:numId w:val="8"/>
        </w:numPr>
        <w:spacing w:after="0"/>
        <w:ind w:left="1077" w:hanging="357"/>
        <w:rPr>
          <w:rFonts w:ascii="Arial" w:hAnsi="Arial" w:cs="Arial"/>
          <w:b/>
        </w:rPr>
      </w:pPr>
      <w:r w:rsidRPr="008B0104">
        <w:rPr>
          <w:rFonts w:ascii="Arial" w:hAnsi="Arial" w:cs="Arial"/>
        </w:rPr>
        <w:t>This</w:t>
      </w:r>
      <w:r w:rsidR="008B0104">
        <w:rPr>
          <w:rFonts w:ascii="Arial" w:hAnsi="Arial" w:cs="Arial"/>
        </w:rPr>
        <w:t xml:space="preserve"> funding </w:t>
      </w:r>
      <w:r w:rsidR="00607A55">
        <w:rPr>
          <w:rFonts w:ascii="Arial" w:hAnsi="Arial" w:cs="Arial"/>
        </w:rPr>
        <w:t xml:space="preserve">request </w:t>
      </w:r>
      <w:r w:rsidR="008B0104">
        <w:rPr>
          <w:rFonts w:ascii="Arial" w:hAnsi="Arial" w:cs="Arial"/>
        </w:rPr>
        <w:t xml:space="preserve">represents an advance payment of </w:t>
      </w:r>
      <w:r w:rsidR="00607A55">
        <w:rPr>
          <w:rFonts w:ascii="Arial" w:hAnsi="Arial" w:cs="Arial"/>
        </w:rPr>
        <w:t xml:space="preserve">a proportion of </w:t>
      </w:r>
      <w:r w:rsidR="008B0104">
        <w:rPr>
          <w:rFonts w:ascii="Arial" w:hAnsi="Arial" w:cs="Arial"/>
        </w:rPr>
        <w:t xml:space="preserve">expected business rate growth </w:t>
      </w:r>
      <w:r w:rsidR="00F37D84">
        <w:rPr>
          <w:rFonts w:ascii="Arial" w:hAnsi="Arial" w:cs="Arial"/>
        </w:rPr>
        <w:t>in 2019/20. The</w:t>
      </w:r>
      <w:r w:rsidR="00607A55">
        <w:rPr>
          <w:rFonts w:ascii="Arial" w:hAnsi="Arial" w:cs="Arial"/>
        </w:rPr>
        <w:t xml:space="preserve"> council has been asked to underwrite this amount as</w:t>
      </w:r>
      <w:r w:rsidR="00FE68AA">
        <w:rPr>
          <w:rFonts w:ascii="Arial" w:hAnsi="Arial" w:cs="Arial"/>
        </w:rPr>
        <w:t xml:space="preserve"> </w:t>
      </w:r>
      <w:r w:rsidR="00607A55">
        <w:rPr>
          <w:rFonts w:ascii="Arial" w:hAnsi="Arial" w:cs="Arial"/>
        </w:rPr>
        <w:t>ther</w:t>
      </w:r>
      <w:r w:rsidR="00F37D84">
        <w:rPr>
          <w:rFonts w:ascii="Arial" w:hAnsi="Arial" w:cs="Arial"/>
        </w:rPr>
        <w:t xml:space="preserve">e is a </w:t>
      </w:r>
      <w:r w:rsidR="00607A55">
        <w:rPr>
          <w:rFonts w:ascii="Arial" w:hAnsi="Arial" w:cs="Arial"/>
        </w:rPr>
        <w:t xml:space="preserve">potential </w:t>
      </w:r>
      <w:r w:rsidR="00F37D84">
        <w:rPr>
          <w:rFonts w:ascii="Arial" w:hAnsi="Arial" w:cs="Arial"/>
        </w:rPr>
        <w:t xml:space="preserve">risk that if the expected level of business rate growth in 2019/20 isn’t achieved then </w:t>
      </w:r>
      <w:r w:rsidR="00607A55">
        <w:rPr>
          <w:rFonts w:ascii="Arial" w:hAnsi="Arial" w:cs="Arial"/>
        </w:rPr>
        <w:t>the Council will need to fund it from its own resources, and also because this is a one-off request to release funds in advance of them being received.</w:t>
      </w:r>
    </w:p>
    <w:p w14:paraId="3B750C02" w14:textId="77777777" w:rsidR="00607A55" w:rsidRPr="00607A55" w:rsidRDefault="00607A55" w:rsidP="00607A55">
      <w:pPr>
        <w:ind w:left="720"/>
        <w:rPr>
          <w:rFonts w:cs="Arial"/>
          <w:b/>
        </w:rPr>
      </w:pPr>
    </w:p>
    <w:p w14:paraId="145A8DA8" w14:textId="77777777" w:rsidR="001A24F9" w:rsidRPr="008B0104" w:rsidRDefault="00607A55" w:rsidP="00FE68AA">
      <w:pPr>
        <w:pStyle w:val="ListParagraph"/>
        <w:numPr>
          <w:ilvl w:val="0"/>
          <w:numId w:val="8"/>
        </w:numPr>
        <w:spacing w:after="0"/>
        <w:ind w:left="1077" w:hanging="357"/>
        <w:rPr>
          <w:rFonts w:ascii="Arial" w:hAnsi="Arial" w:cs="Arial"/>
          <w:b/>
        </w:rPr>
      </w:pPr>
      <w:r>
        <w:rPr>
          <w:rFonts w:ascii="Arial" w:hAnsi="Arial" w:cs="Arial"/>
        </w:rPr>
        <w:t xml:space="preserve"> The amount proposed is less than 15% of the total estimated contribution to the </w:t>
      </w:r>
      <w:r w:rsidRPr="008B0104">
        <w:rPr>
          <w:rFonts w:ascii="Arial" w:hAnsi="Arial" w:cs="Arial"/>
        </w:rPr>
        <w:t>Strategic Economic Growth and Financial Sustainability</w:t>
      </w:r>
      <w:r w:rsidRPr="008B0104">
        <w:rPr>
          <w:rFonts w:ascii="Arial" w:hAnsi="Arial" w:cs="Arial"/>
          <w:i/>
        </w:rPr>
        <w:t xml:space="preserve"> </w:t>
      </w:r>
      <w:r w:rsidRPr="008B0104">
        <w:rPr>
          <w:rFonts w:ascii="Arial" w:hAnsi="Arial" w:cs="Arial"/>
        </w:rPr>
        <w:t>Fund</w:t>
      </w:r>
      <w:r>
        <w:rPr>
          <w:rFonts w:ascii="Arial" w:hAnsi="Arial" w:cs="Arial"/>
        </w:rPr>
        <w:t xml:space="preserve"> and therefore is not considered to be a significant risk.     </w:t>
      </w:r>
      <w:r w:rsidR="00F37D84">
        <w:rPr>
          <w:rFonts w:ascii="Arial" w:hAnsi="Arial" w:cs="Arial"/>
        </w:rPr>
        <w:t xml:space="preserve">     </w:t>
      </w:r>
      <w:r w:rsidR="008B0104">
        <w:rPr>
          <w:rFonts w:ascii="Arial" w:hAnsi="Arial" w:cs="Arial"/>
        </w:rPr>
        <w:t xml:space="preserve">  </w:t>
      </w:r>
    </w:p>
    <w:p w14:paraId="70F93334" w14:textId="77777777" w:rsidR="001A24F9" w:rsidRPr="004206AE" w:rsidRDefault="001A24F9" w:rsidP="001A24F9">
      <w:pPr>
        <w:rPr>
          <w:rFonts w:cs="Arial"/>
          <w:b/>
          <w:i/>
        </w:rPr>
      </w:pPr>
    </w:p>
    <w:p w14:paraId="232E558B" w14:textId="77777777" w:rsidR="001A24F9" w:rsidRPr="00396828" w:rsidRDefault="001A24F9" w:rsidP="002C71DE">
      <w:pPr>
        <w:rPr>
          <w:rFonts w:cs="Arial"/>
          <w:b/>
        </w:rPr>
      </w:pPr>
      <w:r w:rsidRPr="00396828">
        <w:rPr>
          <w:rFonts w:cs="Arial"/>
          <w:b/>
        </w:rPr>
        <w:t>COMMENTS OF THE MONITORING OFFICER</w:t>
      </w:r>
    </w:p>
    <w:p w14:paraId="43946E84" w14:textId="77777777" w:rsidR="00911FD5" w:rsidRPr="00396828" w:rsidRDefault="00911FD5" w:rsidP="00911FD5">
      <w:pPr>
        <w:ind w:left="567"/>
        <w:rPr>
          <w:rFonts w:cs="Arial"/>
          <w:b/>
        </w:rPr>
      </w:pPr>
    </w:p>
    <w:p w14:paraId="3060A08F" w14:textId="77777777" w:rsidR="000427E0" w:rsidRPr="00396828" w:rsidRDefault="002C43CF" w:rsidP="00FE68AA">
      <w:pPr>
        <w:pStyle w:val="ListParagraph"/>
        <w:numPr>
          <w:ilvl w:val="0"/>
          <w:numId w:val="8"/>
        </w:numPr>
        <w:rPr>
          <w:rFonts w:ascii="Arial" w:hAnsi="Arial" w:cs="Arial"/>
          <w:b/>
        </w:rPr>
      </w:pPr>
      <w:r w:rsidRPr="00396828">
        <w:rPr>
          <w:rFonts w:ascii="Arial" w:hAnsi="Arial" w:cs="Arial"/>
        </w:rPr>
        <w:t>Please see Legal Implications above. There are no concerns from a Monitoring Officer perspective. There is general enabling legislation on which we can rely for taking the proposed action.</w:t>
      </w:r>
    </w:p>
    <w:p w14:paraId="05FC694A" w14:textId="77777777" w:rsidR="000427E0" w:rsidRDefault="000427E0" w:rsidP="000427E0">
      <w:pPr>
        <w:ind w:left="567"/>
        <w:rPr>
          <w:rFonts w:cs="Arial"/>
          <w:b/>
        </w:rPr>
      </w:pPr>
    </w:p>
    <w:p w14:paraId="3F5FFF78" w14:textId="77777777" w:rsidR="003C4272" w:rsidRDefault="004C2F94" w:rsidP="002C71DE">
      <w:pPr>
        <w:rPr>
          <w:rFonts w:cs="Arial"/>
          <w:b/>
        </w:rPr>
      </w:pPr>
      <w:r>
        <w:rPr>
          <w:rFonts w:cs="Arial"/>
          <w:b/>
        </w:rPr>
        <w:t xml:space="preserve">BACKGROUND DOCUMENTS </w:t>
      </w:r>
    </w:p>
    <w:p w14:paraId="60D87249" w14:textId="77777777" w:rsidR="003C4272" w:rsidRDefault="003C4272" w:rsidP="002C71DE">
      <w:pPr>
        <w:rPr>
          <w:rFonts w:cs="Arial"/>
          <w:b/>
        </w:rPr>
      </w:pPr>
    </w:p>
    <w:p w14:paraId="6AA55699" w14:textId="77777777" w:rsidR="004C2F94" w:rsidRDefault="003C4272" w:rsidP="002C71DE">
      <w:pPr>
        <w:rPr>
          <w:rFonts w:cs="Arial"/>
        </w:rPr>
      </w:pPr>
      <w:r w:rsidRPr="00757956">
        <w:rPr>
          <w:rFonts w:cs="Arial"/>
        </w:rPr>
        <w:t>Cabinet 12</w:t>
      </w:r>
      <w:r w:rsidRPr="00757956">
        <w:rPr>
          <w:rFonts w:cs="Arial"/>
          <w:vertAlign w:val="superscript"/>
        </w:rPr>
        <w:t>th</w:t>
      </w:r>
      <w:r w:rsidRPr="00757956">
        <w:rPr>
          <w:rFonts w:cs="Arial"/>
        </w:rPr>
        <w:t xml:space="preserve"> September 2018:</w:t>
      </w:r>
      <w:r w:rsidR="00757956">
        <w:rPr>
          <w:rFonts w:cs="Arial"/>
        </w:rPr>
        <w:t xml:space="preserve"> Business Rates Retention Pilots 2019/20</w:t>
      </w:r>
    </w:p>
    <w:p w14:paraId="63F823FD" w14:textId="77777777" w:rsidR="00757956" w:rsidRDefault="00757956" w:rsidP="00757956">
      <w:pPr>
        <w:rPr>
          <w:rFonts w:cs="Arial"/>
        </w:rPr>
      </w:pPr>
      <w:r w:rsidRPr="00757956">
        <w:rPr>
          <w:rFonts w:cs="Arial"/>
        </w:rPr>
        <w:t>Cabinet 1</w:t>
      </w:r>
      <w:r>
        <w:rPr>
          <w:rFonts w:cs="Arial"/>
        </w:rPr>
        <w:t>0</w:t>
      </w:r>
      <w:r w:rsidRPr="00757956">
        <w:rPr>
          <w:rFonts w:cs="Arial"/>
          <w:vertAlign w:val="superscript"/>
        </w:rPr>
        <w:t>th</w:t>
      </w:r>
      <w:r>
        <w:rPr>
          <w:rFonts w:cs="Arial"/>
        </w:rPr>
        <w:t xml:space="preserve"> October </w:t>
      </w:r>
      <w:r w:rsidRPr="00757956">
        <w:rPr>
          <w:rFonts w:cs="Arial"/>
        </w:rPr>
        <w:t>2018:</w:t>
      </w:r>
      <w:r>
        <w:rPr>
          <w:rFonts w:cs="Arial"/>
        </w:rPr>
        <w:t xml:space="preserve"> Business Rates Retention Pilots 2019/20 – Update report</w:t>
      </w:r>
    </w:p>
    <w:p w14:paraId="41899D24" w14:textId="77777777" w:rsidR="00757956" w:rsidRPr="00757956" w:rsidRDefault="00757956" w:rsidP="002C71DE">
      <w:pPr>
        <w:rPr>
          <w:rFonts w:cs="Arial"/>
          <w:color w:val="2E74B5" w:themeColor="accent1" w:themeShade="BF"/>
        </w:rPr>
      </w:pPr>
    </w:p>
    <w:p w14:paraId="575E4E0F" w14:textId="77777777" w:rsidR="004C2F94" w:rsidRPr="00970C70" w:rsidRDefault="004C2F94" w:rsidP="004C2F94">
      <w:pPr>
        <w:ind w:left="720"/>
        <w:rPr>
          <w:rFonts w:cs="Arial"/>
          <w:b/>
          <w:color w:val="2E74B5" w:themeColor="accent1" w:themeShade="BF"/>
        </w:rPr>
      </w:pPr>
    </w:p>
    <w:p w14:paraId="57E58970" w14:textId="77777777" w:rsidR="0006666F" w:rsidRDefault="004C2F94" w:rsidP="004C2F94">
      <w:pPr>
        <w:rPr>
          <w:b/>
        </w:rPr>
      </w:pPr>
      <w:r w:rsidRPr="000828CC">
        <w:rPr>
          <w:b/>
        </w:rPr>
        <w:t xml:space="preserve">APPENDICES </w:t>
      </w:r>
    </w:p>
    <w:p w14:paraId="1BD66E6C" w14:textId="77777777" w:rsidR="0006666F" w:rsidRPr="0006666F" w:rsidRDefault="0006666F" w:rsidP="004C2F94"/>
    <w:p w14:paraId="0C56EBD2" w14:textId="77777777" w:rsidR="004C2F94" w:rsidRPr="0006666F" w:rsidRDefault="004C2F94" w:rsidP="004C2F94">
      <w:r w:rsidRPr="0006666F">
        <w:t>There are no appendices to this report</w:t>
      </w:r>
    </w:p>
    <w:p w14:paraId="7DA18ECF" w14:textId="77777777" w:rsidR="004C2F94" w:rsidRPr="004C2F94" w:rsidRDefault="004C2F94" w:rsidP="004C2F94">
      <w:pPr>
        <w:rPr>
          <w:rFonts w:cs="Arial"/>
          <w:b/>
        </w:rPr>
      </w:pPr>
    </w:p>
    <w:p w14:paraId="39F08BE4" w14:textId="77777777" w:rsidR="004C2F94" w:rsidRDefault="004C2F94" w:rsidP="004C2F94">
      <w:pPr>
        <w:ind w:left="720" w:hanging="720"/>
        <w:rPr>
          <w:rFonts w:cs="Arial"/>
          <w:i/>
          <w:color w:val="2E74B5" w:themeColor="accent1" w:themeShade="BF"/>
        </w:rPr>
      </w:pPr>
    </w:p>
    <w:p w14:paraId="5C338ADC" w14:textId="77777777" w:rsidR="00FE68AA" w:rsidRPr="00970C70" w:rsidRDefault="00FE68AA" w:rsidP="004C2F94">
      <w:pPr>
        <w:ind w:left="720" w:hanging="720"/>
        <w:rPr>
          <w:rFonts w:cs="Arial"/>
          <w:i/>
          <w:color w:val="2E74B5" w:themeColor="accent1" w:themeShade="BF"/>
        </w:rPr>
      </w:pPr>
    </w:p>
    <w:p w14:paraId="4062FC61" w14:textId="77777777" w:rsidR="0037228A" w:rsidRDefault="004C2F94" w:rsidP="0006666F">
      <w:pPr>
        <w:ind w:left="720" w:hanging="720"/>
        <w:rPr>
          <w:b/>
        </w:rPr>
      </w:pPr>
      <w:r w:rsidRPr="00970C70">
        <w:rPr>
          <w:rFonts w:cs="Arial"/>
          <w:i/>
          <w:color w:val="2E74B5" w:themeColor="accent1" w:themeShade="BF"/>
        </w:rPr>
        <w:tab/>
      </w:r>
    </w:p>
    <w:p w14:paraId="3078E2A4" w14:textId="797A2DCE" w:rsidR="0037228A" w:rsidRPr="004068C9" w:rsidRDefault="008F3E71" w:rsidP="0037228A">
      <w:pPr>
        <w:tabs>
          <w:tab w:val="left" w:pos="2839"/>
        </w:tabs>
        <w:ind w:left="426" w:hanging="426"/>
        <w:rPr>
          <w:rFonts w:cs="Arial"/>
        </w:rPr>
      </w:pPr>
      <w:r>
        <w:rPr>
          <w:rFonts w:cs="Arial"/>
        </w:rPr>
        <w:t>JANE BLUNDELL</w:t>
      </w:r>
    </w:p>
    <w:p w14:paraId="289B7968" w14:textId="4E77A61B" w:rsidR="0037228A" w:rsidRPr="004068C9" w:rsidRDefault="008F3E71" w:rsidP="0037228A">
      <w:pPr>
        <w:tabs>
          <w:tab w:val="left" w:pos="2839"/>
        </w:tabs>
        <w:rPr>
          <w:rFonts w:cs="Arial"/>
        </w:rPr>
      </w:pPr>
      <w:r>
        <w:rPr>
          <w:rFonts w:cs="Arial"/>
        </w:rPr>
        <w:t>INTERIM SECTION 151 OFFICER</w:t>
      </w:r>
      <w:bookmarkStart w:id="1" w:name="_GoBack"/>
      <w:bookmarkEnd w:id="1"/>
    </w:p>
    <w:p w14:paraId="6F8D5DB9" w14:textId="77777777"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554"/>
        <w:gridCol w:w="2355"/>
      </w:tblGrid>
      <w:tr w:rsidR="0037228A" w14:paraId="5C5EDB57" w14:textId="77777777" w:rsidTr="0031059E">
        <w:tc>
          <w:tcPr>
            <w:tcW w:w="5700" w:type="dxa"/>
            <w:shd w:val="clear" w:color="auto" w:fill="auto"/>
          </w:tcPr>
          <w:p w14:paraId="1D518556"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5B74E2EC"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2E3257CB" w14:textId="77777777" w:rsidR="0037228A" w:rsidRPr="0031059E" w:rsidRDefault="0037228A" w:rsidP="0031059E">
            <w:pPr>
              <w:rPr>
                <w:rFonts w:cs="Arial"/>
              </w:rPr>
            </w:pPr>
            <w:r w:rsidRPr="0031059E">
              <w:rPr>
                <w:rFonts w:cs="Arial"/>
              </w:rPr>
              <w:t>Date:</w:t>
            </w:r>
          </w:p>
        </w:tc>
      </w:tr>
      <w:tr w:rsidR="0037228A" w14:paraId="53EB1F54" w14:textId="77777777" w:rsidTr="0031059E">
        <w:tc>
          <w:tcPr>
            <w:tcW w:w="5700" w:type="dxa"/>
            <w:shd w:val="clear" w:color="auto" w:fill="auto"/>
          </w:tcPr>
          <w:p w14:paraId="3E117538" w14:textId="77777777" w:rsidR="0037228A" w:rsidRPr="0031059E" w:rsidRDefault="004068C9" w:rsidP="004068C9">
            <w:pPr>
              <w:rPr>
                <w:rFonts w:cs="Arial"/>
              </w:rPr>
            </w:pPr>
            <w:r>
              <w:rPr>
                <w:rFonts w:cs="Arial"/>
              </w:rPr>
              <w:t>Jane Blundell</w:t>
            </w:r>
          </w:p>
        </w:tc>
        <w:tc>
          <w:tcPr>
            <w:tcW w:w="1559" w:type="dxa"/>
            <w:shd w:val="clear" w:color="auto" w:fill="auto"/>
          </w:tcPr>
          <w:p w14:paraId="3ECAAC4D" w14:textId="77777777" w:rsidR="0037228A" w:rsidRPr="0031059E" w:rsidRDefault="00621D7D" w:rsidP="004068C9">
            <w:pPr>
              <w:rPr>
                <w:rFonts w:cs="Arial"/>
              </w:rPr>
            </w:pPr>
            <w:r>
              <w:rPr>
                <w:rFonts w:cs="Arial"/>
              </w:rPr>
              <w:t>01772 62</w:t>
            </w:r>
            <w:r w:rsidR="004068C9">
              <w:rPr>
                <w:rFonts w:cs="Arial"/>
              </w:rPr>
              <w:t>5245</w:t>
            </w:r>
          </w:p>
        </w:tc>
        <w:tc>
          <w:tcPr>
            <w:tcW w:w="2380" w:type="dxa"/>
            <w:shd w:val="clear" w:color="auto" w:fill="auto"/>
          </w:tcPr>
          <w:p w14:paraId="0040E057" w14:textId="77777777" w:rsidR="0037228A" w:rsidRPr="0031059E" w:rsidRDefault="004068C9" w:rsidP="0031059E">
            <w:pPr>
              <w:rPr>
                <w:rFonts w:cs="Arial"/>
              </w:rPr>
            </w:pPr>
            <w:r>
              <w:rPr>
                <w:rFonts w:cs="Arial"/>
              </w:rPr>
              <w:t>05/08/19</w:t>
            </w:r>
          </w:p>
        </w:tc>
      </w:tr>
    </w:tbl>
    <w:p w14:paraId="7E1DBC6B" w14:textId="77777777"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helan, David" w:date="2019-08-07T10:05:00Z" w:initials="WD">
    <w:p w14:paraId="6E09118F" w14:textId="77777777" w:rsidR="002C43CF" w:rsidRDefault="002C43CF">
      <w:pPr>
        <w:pStyle w:val="CommentText"/>
      </w:pPr>
      <w:r>
        <w:rPr>
          <w:rStyle w:val="CommentReference"/>
        </w:rPr>
        <w:annotationRef/>
      </w:r>
      <w:r>
        <w:t>Jane – the formatting is out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0911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4FDF4" w14:textId="77777777" w:rsidR="00F60824" w:rsidRDefault="00F60824">
      <w:r>
        <w:separator/>
      </w:r>
    </w:p>
  </w:endnote>
  <w:endnote w:type="continuationSeparator" w:id="0">
    <w:p w14:paraId="405A3E0C" w14:textId="77777777" w:rsidR="00F60824" w:rsidRDefault="00F6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7E205" w14:textId="77777777" w:rsidR="00F60824" w:rsidRDefault="00F60824">
      <w:r>
        <w:separator/>
      </w:r>
    </w:p>
  </w:footnote>
  <w:footnote w:type="continuationSeparator" w:id="0">
    <w:p w14:paraId="13235CD7" w14:textId="77777777" w:rsidR="00F60824" w:rsidRDefault="00F60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4DD4"/>
    <w:multiLevelType w:val="hybridMultilevel"/>
    <w:tmpl w:val="2CD414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3AF2E8E"/>
    <w:multiLevelType w:val="hybridMultilevel"/>
    <w:tmpl w:val="95A8D13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B654BF"/>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403A57"/>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4F967F2A"/>
    <w:multiLevelType w:val="hybridMultilevel"/>
    <w:tmpl w:val="76ECD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7"/>
  </w:num>
  <w:num w:numId="5">
    <w:abstractNumId w:val="11"/>
  </w:num>
  <w:num w:numId="6">
    <w:abstractNumId w:val="6"/>
  </w:num>
  <w:num w:numId="7">
    <w:abstractNumId w:val="3"/>
  </w:num>
  <w:num w:numId="8">
    <w:abstractNumId w:val="4"/>
  </w:num>
  <w:num w:numId="9">
    <w:abstractNumId w:val="1"/>
  </w:num>
  <w:num w:numId="10">
    <w:abstractNumId w:val="2"/>
  </w:num>
  <w:num w:numId="11">
    <w:abstractNumId w:val="5"/>
  </w:num>
  <w:num w:numId="12">
    <w:abstractNumId w:val="12"/>
  </w:num>
  <w:num w:numId="13">
    <w:abstractNumId w:val="15"/>
  </w:num>
  <w:num w:numId="14">
    <w:abstractNumId w:val="0"/>
  </w:num>
  <w:num w:numId="15">
    <w:abstractNumId w:val="8"/>
  </w:num>
  <w:num w:numId="16">
    <w:abstractNumId w:val="14"/>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elan, David">
    <w15:presenceInfo w15:providerId="AD" w15:userId="S-1-5-21-1721371275-236872856-618671499-1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13FD"/>
    <w:rsid w:val="00002742"/>
    <w:rsid w:val="00006D14"/>
    <w:rsid w:val="00016DD3"/>
    <w:rsid w:val="00022B08"/>
    <w:rsid w:val="000427E0"/>
    <w:rsid w:val="00044775"/>
    <w:rsid w:val="00044F11"/>
    <w:rsid w:val="0006370A"/>
    <w:rsid w:val="0006666F"/>
    <w:rsid w:val="00077488"/>
    <w:rsid w:val="000828CC"/>
    <w:rsid w:val="0009466B"/>
    <w:rsid w:val="000D40AB"/>
    <w:rsid w:val="000D7240"/>
    <w:rsid w:val="000E10FE"/>
    <w:rsid w:val="000E5A3B"/>
    <w:rsid w:val="000F2C8A"/>
    <w:rsid w:val="001000E7"/>
    <w:rsid w:val="0010115F"/>
    <w:rsid w:val="00116662"/>
    <w:rsid w:val="00133F2E"/>
    <w:rsid w:val="00152E2E"/>
    <w:rsid w:val="001544DD"/>
    <w:rsid w:val="00167AEF"/>
    <w:rsid w:val="00176159"/>
    <w:rsid w:val="0018366E"/>
    <w:rsid w:val="00184E1D"/>
    <w:rsid w:val="0019545D"/>
    <w:rsid w:val="001A24F9"/>
    <w:rsid w:val="00207251"/>
    <w:rsid w:val="00216A9D"/>
    <w:rsid w:val="002221BD"/>
    <w:rsid w:val="0025591B"/>
    <w:rsid w:val="002820A5"/>
    <w:rsid w:val="00294520"/>
    <w:rsid w:val="002C43CF"/>
    <w:rsid w:val="002C71DE"/>
    <w:rsid w:val="002D4745"/>
    <w:rsid w:val="002E4FF4"/>
    <w:rsid w:val="002F5C5E"/>
    <w:rsid w:val="0031059E"/>
    <w:rsid w:val="00331D5F"/>
    <w:rsid w:val="00345C71"/>
    <w:rsid w:val="00351445"/>
    <w:rsid w:val="00354079"/>
    <w:rsid w:val="00357F6B"/>
    <w:rsid w:val="0037228A"/>
    <w:rsid w:val="00386AAD"/>
    <w:rsid w:val="00394BED"/>
    <w:rsid w:val="00396828"/>
    <w:rsid w:val="003A1B3F"/>
    <w:rsid w:val="003A23D3"/>
    <w:rsid w:val="003A2919"/>
    <w:rsid w:val="003B1E6D"/>
    <w:rsid w:val="003C36EB"/>
    <w:rsid w:val="003C4272"/>
    <w:rsid w:val="003D3DEB"/>
    <w:rsid w:val="003E33E6"/>
    <w:rsid w:val="003F5603"/>
    <w:rsid w:val="00405D4A"/>
    <w:rsid w:val="004068C9"/>
    <w:rsid w:val="00407A09"/>
    <w:rsid w:val="004155DC"/>
    <w:rsid w:val="004218EA"/>
    <w:rsid w:val="00422D4A"/>
    <w:rsid w:val="00442C46"/>
    <w:rsid w:val="0045553F"/>
    <w:rsid w:val="00467204"/>
    <w:rsid w:val="00474DA8"/>
    <w:rsid w:val="00491976"/>
    <w:rsid w:val="004A45D4"/>
    <w:rsid w:val="004C2F94"/>
    <w:rsid w:val="004D7260"/>
    <w:rsid w:val="004F23B3"/>
    <w:rsid w:val="004F53F3"/>
    <w:rsid w:val="00501C7B"/>
    <w:rsid w:val="0050340F"/>
    <w:rsid w:val="005041BB"/>
    <w:rsid w:val="00517D50"/>
    <w:rsid w:val="00533525"/>
    <w:rsid w:val="00537F51"/>
    <w:rsid w:val="00547120"/>
    <w:rsid w:val="00547481"/>
    <w:rsid w:val="00552DBD"/>
    <w:rsid w:val="00576A82"/>
    <w:rsid w:val="00594D09"/>
    <w:rsid w:val="005A26AD"/>
    <w:rsid w:val="005B0C36"/>
    <w:rsid w:val="005D4F59"/>
    <w:rsid w:val="0060374B"/>
    <w:rsid w:val="00607A55"/>
    <w:rsid w:val="00621D7D"/>
    <w:rsid w:val="00630F86"/>
    <w:rsid w:val="00633396"/>
    <w:rsid w:val="00645A0B"/>
    <w:rsid w:val="0065176C"/>
    <w:rsid w:val="006555E6"/>
    <w:rsid w:val="00655DFE"/>
    <w:rsid w:val="006771FB"/>
    <w:rsid w:val="006879CA"/>
    <w:rsid w:val="00693EE6"/>
    <w:rsid w:val="006B645E"/>
    <w:rsid w:val="006B66A7"/>
    <w:rsid w:val="006B7116"/>
    <w:rsid w:val="006C04C1"/>
    <w:rsid w:val="006C209A"/>
    <w:rsid w:val="006C5B1A"/>
    <w:rsid w:val="006D23ED"/>
    <w:rsid w:val="006E09FB"/>
    <w:rsid w:val="006E0ECA"/>
    <w:rsid w:val="006F48FD"/>
    <w:rsid w:val="00703DE3"/>
    <w:rsid w:val="00707E99"/>
    <w:rsid w:val="00712E3F"/>
    <w:rsid w:val="007354E7"/>
    <w:rsid w:val="007359FC"/>
    <w:rsid w:val="00745F13"/>
    <w:rsid w:val="00757956"/>
    <w:rsid w:val="007944D1"/>
    <w:rsid w:val="007A0801"/>
    <w:rsid w:val="007C169E"/>
    <w:rsid w:val="007F3B19"/>
    <w:rsid w:val="00814F6D"/>
    <w:rsid w:val="00857921"/>
    <w:rsid w:val="008770BE"/>
    <w:rsid w:val="00893AD2"/>
    <w:rsid w:val="008A2F6B"/>
    <w:rsid w:val="008A42E3"/>
    <w:rsid w:val="008A77AB"/>
    <w:rsid w:val="008B0104"/>
    <w:rsid w:val="008B41C5"/>
    <w:rsid w:val="008B55D7"/>
    <w:rsid w:val="008C04DA"/>
    <w:rsid w:val="008C1DBF"/>
    <w:rsid w:val="008C3B1A"/>
    <w:rsid w:val="008D623F"/>
    <w:rsid w:val="008E6D8E"/>
    <w:rsid w:val="008F3E71"/>
    <w:rsid w:val="008F4B91"/>
    <w:rsid w:val="0090542C"/>
    <w:rsid w:val="009063C4"/>
    <w:rsid w:val="00911FD5"/>
    <w:rsid w:val="009350CB"/>
    <w:rsid w:val="009538AE"/>
    <w:rsid w:val="00962200"/>
    <w:rsid w:val="00970C70"/>
    <w:rsid w:val="00980267"/>
    <w:rsid w:val="00983CD5"/>
    <w:rsid w:val="009846F1"/>
    <w:rsid w:val="00992E79"/>
    <w:rsid w:val="009A714A"/>
    <w:rsid w:val="009C1143"/>
    <w:rsid w:val="009E233A"/>
    <w:rsid w:val="009E48E0"/>
    <w:rsid w:val="00A1406A"/>
    <w:rsid w:val="00A162DE"/>
    <w:rsid w:val="00A2078A"/>
    <w:rsid w:val="00A22D02"/>
    <w:rsid w:val="00A30426"/>
    <w:rsid w:val="00A445C9"/>
    <w:rsid w:val="00A4702E"/>
    <w:rsid w:val="00A50754"/>
    <w:rsid w:val="00A57221"/>
    <w:rsid w:val="00A62C20"/>
    <w:rsid w:val="00A6610D"/>
    <w:rsid w:val="00A67215"/>
    <w:rsid w:val="00A7541A"/>
    <w:rsid w:val="00A76482"/>
    <w:rsid w:val="00A975A7"/>
    <w:rsid w:val="00AB3D95"/>
    <w:rsid w:val="00AC4A99"/>
    <w:rsid w:val="00AF0A33"/>
    <w:rsid w:val="00B05FE8"/>
    <w:rsid w:val="00B1788B"/>
    <w:rsid w:val="00B22DE3"/>
    <w:rsid w:val="00B443DD"/>
    <w:rsid w:val="00B51DB8"/>
    <w:rsid w:val="00B52F54"/>
    <w:rsid w:val="00B62D79"/>
    <w:rsid w:val="00B67225"/>
    <w:rsid w:val="00B70B91"/>
    <w:rsid w:val="00B716F5"/>
    <w:rsid w:val="00B72A06"/>
    <w:rsid w:val="00B766C4"/>
    <w:rsid w:val="00BA2606"/>
    <w:rsid w:val="00BC6635"/>
    <w:rsid w:val="00BD2AFE"/>
    <w:rsid w:val="00BE0127"/>
    <w:rsid w:val="00C022F9"/>
    <w:rsid w:val="00C209E3"/>
    <w:rsid w:val="00C30128"/>
    <w:rsid w:val="00C4439D"/>
    <w:rsid w:val="00C52450"/>
    <w:rsid w:val="00C61FE6"/>
    <w:rsid w:val="00C64ED1"/>
    <w:rsid w:val="00C65FF9"/>
    <w:rsid w:val="00C66BAA"/>
    <w:rsid w:val="00C80A48"/>
    <w:rsid w:val="00CB32DF"/>
    <w:rsid w:val="00CC3246"/>
    <w:rsid w:val="00CC4337"/>
    <w:rsid w:val="00CE3DA1"/>
    <w:rsid w:val="00CE4482"/>
    <w:rsid w:val="00CF6B60"/>
    <w:rsid w:val="00D048AF"/>
    <w:rsid w:val="00D15247"/>
    <w:rsid w:val="00D220DA"/>
    <w:rsid w:val="00D36638"/>
    <w:rsid w:val="00D37745"/>
    <w:rsid w:val="00D37BAE"/>
    <w:rsid w:val="00D50F06"/>
    <w:rsid w:val="00D544E1"/>
    <w:rsid w:val="00D67DF6"/>
    <w:rsid w:val="00D772AB"/>
    <w:rsid w:val="00D90A00"/>
    <w:rsid w:val="00D91845"/>
    <w:rsid w:val="00D9371C"/>
    <w:rsid w:val="00DA589A"/>
    <w:rsid w:val="00DB3FD0"/>
    <w:rsid w:val="00DB4EB8"/>
    <w:rsid w:val="00DB6C8B"/>
    <w:rsid w:val="00DB6F5A"/>
    <w:rsid w:val="00DD6D8A"/>
    <w:rsid w:val="00DE5E12"/>
    <w:rsid w:val="00E048CF"/>
    <w:rsid w:val="00E120B8"/>
    <w:rsid w:val="00E2276E"/>
    <w:rsid w:val="00E41950"/>
    <w:rsid w:val="00E50A9C"/>
    <w:rsid w:val="00E51F90"/>
    <w:rsid w:val="00E569CB"/>
    <w:rsid w:val="00E577A2"/>
    <w:rsid w:val="00E60A53"/>
    <w:rsid w:val="00E66713"/>
    <w:rsid w:val="00E733A5"/>
    <w:rsid w:val="00E753EC"/>
    <w:rsid w:val="00E84459"/>
    <w:rsid w:val="00E84EBC"/>
    <w:rsid w:val="00E8786D"/>
    <w:rsid w:val="00E971A2"/>
    <w:rsid w:val="00EA715C"/>
    <w:rsid w:val="00EB7B0D"/>
    <w:rsid w:val="00EB7C94"/>
    <w:rsid w:val="00ED257A"/>
    <w:rsid w:val="00ED57B4"/>
    <w:rsid w:val="00ED68EE"/>
    <w:rsid w:val="00EE1A41"/>
    <w:rsid w:val="00EE4185"/>
    <w:rsid w:val="00EF3B6C"/>
    <w:rsid w:val="00F2517D"/>
    <w:rsid w:val="00F3057A"/>
    <w:rsid w:val="00F30E9C"/>
    <w:rsid w:val="00F37D84"/>
    <w:rsid w:val="00F55E4D"/>
    <w:rsid w:val="00F60824"/>
    <w:rsid w:val="00F61752"/>
    <w:rsid w:val="00F85861"/>
    <w:rsid w:val="00F87F78"/>
    <w:rsid w:val="00FB5157"/>
    <w:rsid w:val="00FB67C4"/>
    <w:rsid w:val="00FD7B65"/>
    <w:rsid w:val="00FE68AA"/>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A90B4E"/>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NoSpacing">
    <w:name w:val="No Spacing"/>
    <w:uiPriority w:val="1"/>
    <w:qFormat/>
    <w:rsid w:val="00133F2E"/>
    <w:rPr>
      <w:rFonts w:ascii="Arial" w:hAnsi="Arial"/>
      <w:sz w:val="22"/>
    </w:rPr>
  </w:style>
  <w:style w:type="character" w:styleId="CommentReference">
    <w:name w:val="annotation reference"/>
    <w:basedOn w:val="DefaultParagraphFont"/>
    <w:uiPriority w:val="99"/>
    <w:semiHidden/>
    <w:unhideWhenUsed/>
    <w:rsid w:val="002C43CF"/>
    <w:rPr>
      <w:sz w:val="16"/>
      <w:szCs w:val="16"/>
    </w:rPr>
  </w:style>
  <w:style w:type="paragraph" w:styleId="CommentText">
    <w:name w:val="annotation text"/>
    <w:basedOn w:val="Normal"/>
    <w:link w:val="CommentTextChar"/>
    <w:uiPriority w:val="99"/>
    <w:semiHidden/>
    <w:unhideWhenUsed/>
    <w:rsid w:val="002C43CF"/>
    <w:rPr>
      <w:sz w:val="20"/>
    </w:rPr>
  </w:style>
  <w:style w:type="character" w:customStyle="1" w:styleId="CommentTextChar">
    <w:name w:val="Comment Text Char"/>
    <w:basedOn w:val="DefaultParagraphFont"/>
    <w:link w:val="CommentText"/>
    <w:uiPriority w:val="99"/>
    <w:semiHidden/>
    <w:rsid w:val="002C43CF"/>
    <w:rPr>
      <w:rFonts w:ascii="Arial" w:hAnsi="Arial"/>
    </w:rPr>
  </w:style>
  <w:style w:type="paragraph" w:styleId="CommentSubject">
    <w:name w:val="annotation subject"/>
    <w:basedOn w:val="CommentText"/>
    <w:next w:val="CommentText"/>
    <w:link w:val="CommentSubjectChar"/>
    <w:uiPriority w:val="99"/>
    <w:semiHidden/>
    <w:unhideWhenUsed/>
    <w:rsid w:val="002C43CF"/>
    <w:rPr>
      <w:b/>
      <w:bCs/>
    </w:rPr>
  </w:style>
  <w:style w:type="character" w:customStyle="1" w:styleId="CommentSubjectChar">
    <w:name w:val="Comment Subject Char"/>
    <w:basedOn w:val="CommentTextChar"/>
    <w:link w:val="CommentSubject"/>
    <w:uiPriority w:val="99"/>
    <w:semiHidden/>
    <w:rsid w:val="002C43C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5</Pages>
  <Words>1492</Words>
  <Characters>8054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2019-09-02T08:59:00Z</dcterms:created>
  <dcterms:modified xsi:type="dcterms:W3CDTF">2019-09-02T08:59:00Z</dcterms:modified>
</cp:coreProperties>
</file>